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5A58C26C" w:rsidR="00A628E2" w:rsidRDefault="005136E5" w:rsidP="00A628E2">
      <w:pPr>
        <w:jc w:val="both"/>
      </w:pPr>
      <w:r>
        <w:t>Cernik</w:t>
      </w:r>
      <w:r w:rsidR="0054454A">
        <w:t xml:space="preserve">, </w:t>
      </w:r>
      <w:r w:rsidR="001553E8">
        <w:t>9. veljače</w:t>
      </w:r>
      <w:r w:rsidR="007413FF">
        <w:t xml:space="preserve"> </w:t>
      </w:r>
      <w:r w:rsidR="00A628E2">
        <w:t>202</w:t>
      </w:r>
      <w:r w:rsidR="00D666C7">
        <w:t>6</w:t>
      </w:r>
      <w:r w:rsidR="00A628E2">
        <w:t>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6D7A0C04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</w:t>
      </w:r>
      <w:r w:rsidR="00D666C7">
        <w:rPr>
          <w:lang w:eastAsia="hr-HR"/>
        </w:rPr>
        <w:t>1.12</w:t>
      </w:r>
      <w:r w:rsidRPr="001A68AF">
        <w:rPr>
          <w:lang w:eastAsia="hr-HR"/>
        </w:rPr>
        <w:t>.202</w:t>
      </w:r>
      <w:r w:rsidR="00E8432B">
        <w:rPr>
          <w:lang w:eastAsia="hr-HR"/>
        </w:rPr>
        <w:t>5</w:t>
      </w:r>
      <w:r w:rsidRPr="001A68AF">
        <w:rPr>
          <w:lang w:eastAsia="hr-HR"/>
        </w:rPr>
        <w:t>. GODINE</w:t>
      </w:r>
    </w:p>
    <w:p w14:paraId="4BE559AF" w14:textId="630F5297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godišnjeg izvještaja o izvršenju financijskog plana za razdoblje </w:t>
      </w:r>
      <w:r w:rsidR="00D666C7">
        <w:rPr>
          <w:lang w:eastAsia="hr-HR"/>
        </w:rPr>
        <w:t>01. siječnja do 31. prosinca 2025.</w:t>
      </w:r>
      <w:r w:rsidRPr="001A68AF">
        <w:rPr>
          <w:lang w:eastAsia="hr-HR"/>
        </w:rPr>
        <w:t xml:space="preserve"> godine</w:t>
      </w:r>
      <w:r w:rsidR="00710683">
        <w:rPr>
          <w:lang w:eastAsia="hr-HR"/>
        </w:rPr>
        <w:t xml:space="preserve"> do 31. ožujka tekuće proračunske godine.</w:t>
      </w:r>
    </w:p>
    <w:p w14:paraId="38AE72E7" w14:textId="333042DF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CB57A0">
        <w:rPr>
          <w:lang w:eastAsia="hr-HR"/>
        </w:rPr>
        <w:t>1.424.767,32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CB57A0">
        <w:rPr>
          <w:lang w:eastAsia="hr-HR"/>
        </w:rPr>
        <w:t>91,95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</w:t>
      </w:r>
      <w:r w:rsidR="00CB57A0">
        <w:rPr>
          <w:lang w:eastAsia="hr-HR"/>
        </w:rPr>
        <w:t>08,34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</w:t>
      </w:r>
      <w:r w:rsidR="00CB57A0">
        <w:rPr>
          <w:lang w:eastAsia="hr-HR"/>
        </w:rPr>
        <w:t>u iznosu 1.519.732,09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CB57A0">
        <w:rPr>
          <w:lang w:eastAsia="hr-HR"/>
        </w:rPr>
        <w:t>98,10</w:t>
      </w:r>
      <w:r w:rsidR="00AC32DA">
        <w:rPr>
          <w:lang w:eastAsia="hr-HR"/>
        </w:rPr>
        <w:t xml:space="preserve">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</w:t>
      </w:r>
      <w:r w:rsidR="00CB57A0">
        <w:rPr>
          <w:lang w:eastAsia="hr-HR"/>
        </w:rPr>
        <w:t>15,77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="00B06154">
        <w:rPr>
          <w:lang w:eastAsia="hr-HR"/>
        </w:rPr>
        <w:t xml:space="preserve"> Razlog povećanja prihoda i rashoda su plaće zaposlenika jer je u odnosu na isto razdoblje protekle godine rasla osnovica za obračun plaće, a rashodi su povećani i zbog evidentiranja </w:t>
      </w:r>
      <w:r w:rsidR="00CB57A0">
        <w:rPr>
          <w:lang w:eastAsia="hr-HR"/>
        </w:rPr>
        <w:t>trinaest</w:t>
      </w:r>
      <w:r w:rsidR="00B06154">
        <w:rPr>
          <w:lang w:eastAsia="hr-HR"/>
        </w:rPr>
        <w:t xml:space="preserve"> rashoda</w:t>
      </w:r>
      <w:r w:rsidR="00CB57A0">
        <w:rPr>
          <w:lang w:eastAsia="hr-HR"/>
        </w:rPr>
        <w:t>,</w:t>
      </w:r>
      <w:r w:rsidR="00B06154">
        <w:rPr>
          <w:lang w:eastAsia="hr-HR"/>
        </w:rPr>
        <w:t xml:space="preserve"> a samo </w:t>
      </w:r>
      <w:r w:rsidR="00CB57A0">
        <w:rPr>
          <w:lang w:eastAsia="hr-HR"/>
        </w:rPr>
        <w:t>dvanaest</w:t>
      </w:r>
      <w:r w:rsidR="00B06154">
        <w:rPr>
          <w:lang w:eastAsia="hr-HR"/>
        </w:rPr>
        <w:t xml:space="preserve"> prihoda plaća zaposlenika. U odnosu na navedeno razdoblje kada smo imali zaposlena dva pomoćnika u nastavi, ove godine ih je </w:t>
      </w:r>
      <w:r w:rsidR="00CB57A0">
        <w:rPr>
          <w:lang w:eastAsia="hr-HR"/>
        </w:rPr>
        <w:t>pet</w:t>
      </w:r>
      <w:r w:rsidR="00B06154">
        <w:rPr>
          <w:lang w:eastAsia="hr-HR"/>
        </w:rPr>
        <w:t>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797373CD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CB57A0">
        <w:rPr>
          <w:lang w:eastAsia="hr-HR"/>
        </w:rPr>
        <w:t>1.289.624,17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2E1A627A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</w:t>
      </w:r>
      <w:r w:rsidR="00CB57A0">
        <w:rPr>
          <w:lang w:eastAsia="hr-HR"/>
        </w:rPr>
        <w:t>53.048,63</w:t>
      </w:r>
      <w:r>
        <w:rPr>
          <w:lang w:eastAsia="hr-HR"/>
        </w:rPr>
        <w:t xml:space="preserve"> €</w:t>
      </w:r>
    </w:p>
    <w:p w14:paraId="5370E357" w14:textId="72F8EA4A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</w:t>
      </w:r>
      <w:r w:rsidR="00CB57A0">
        <w:rPr>
          <w:lang w:eastAsia="hr-HR"/>
        </w:rPr>
        <w:t>664,00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CB57A0">
        <w:rPr>
          <w:lang w:eastAsia="hr-HR"/>
        </w:rPr>
        <w:t>7.355,81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01E288CF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</w:t>
      </w:r>
      <w:r w:rsidR="00CB57A0">
        <w:rPr>
          <w:lang w:eastAsia="hr-HR"/>
        </w:rPr>
        <w:t>5.739,33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 w:rsidR="00CB57A0">
        <w:rPr>
          <w:lang w:eastAsia="hr-HR"/>
        </w:rPr>
        <w:t>68.335,38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 </w:t>
      </w:r>
      <w:r w:rsidR="001975AF">
        <w:rPr>
          <w:lang w:eastAsia="hr-HR"/>
        </w:rPr>
        <w:t xml:space="preserve"> te školske kuhinje</w:t>
      </w:r>
      <w:r>
        <w:rPr>
          <w:lang w:eastAsia="hr-HR"/>
        </w:rPr>
        <w:t xml:space="preserve"> (63)</w:t>
      </w:r>
      <w:r w:rsidR="00CB57A0">
        <w:rPr>
          <w:lang w:eastAsia="hr-HR"/>
        </w:rPr>
        <w:t xml:space="preserve"> (90%)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7FDB95BA" w14:textId="77777777" w:rsidR="00AF40B6" w:rsidRDefault="00AF40B6" w:rsidP="00C05893">
      <w:pPr>
        <w:pStyle w:val="Bezproreda"/>
        <w:rPr>
          <w:lang w:eastAsia="hr-HR"/>
        </w:rPr>
      </w:pPr>
    </w:p>
    <w:p w14:paraId="05F72BB1" w14:textId="53D90BAD" w:rsidR="00C648E5" w:rsidRDefault="00AF40B6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Račun 639 veći je za </w:t>
      </w:r>
      <w:r w:rsidR="00537FAF">
        <w:rPr>
          <w:lang w:eastAsia="hr-HR"/>
        </w:rPr>
        <w:t>336,17</w:t>
      </w:r>
      <w:r>
        <w:rPr>
          <w:lang w:eastAsia="hr-HR"/>
        </w:rPr>
        <w:t xml:space="preserve"> % u odnosu na proteklo razdoblje zbog povećanja </w:t>
      </w:r>
      <w:r w:rsidR="00F44693">
        <w:rPr>
          <w:lang w:eastAsia="hr-HR"/>
        </w:rPr>
        <w:t>plaća</w:t>
      </w:r>
      <w:r>
        <w:rPr>
          <w:lang w:eastAsia="hr-HR"/>
        </w:rPr>
        <w:t xml:space="preserve"> pomoćnika u nastavi</w:t>
      </w:r>
      <w:r w:rsidR="00B06154">
        <w:rPr>
          <w:lang w:eastAsia="hr-HR"/>
        </w:rPr>
        <w:t xml:space="preserve"> i njihovog broja.</w:t>
      </w:r>
      <w:r>
        <w:rPr>
          <w:lang w:eastAsia="hr-HR"/>
        </w:rPr>
        <w:t xml:space="preserve"> </w:t>
      </w:r>
      <w:r w:rsidR="00F95538">
        <w:rPr>
          <w:lang w:eastAsia="hr-HR"/>
        </w:rPr>
        <w:t xml:space="preserve">Značajne razlike </w:t>
      </w:r>
      <w:r w:rsidR="009F09BA">
        <w:rPr>
          <w:lang w:eastAsia="hr-HR"/>
        </w:rPr>
        <w:t>u odnosu na</w:t>
      </w:r>
      <w:r w:rsidR="00F95538"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 w:rsidR="00F95538">
        <w:rPr>
          <w:lang w:eastAsia="hr-HR"/>
        </w:rPr>
        <w:t xml:space="preserve"> izvršenje pokazuju se na računu 65 gdje je prihod manji iz razloga neizdavanja računa roditeljima za troškove školske kuhinje</w:t>
      </w:r>
      <w:r w:rsidR="009F09BA">
        <w:rPr>
          <w:lang w:eastAsia="hr-HR"/>
        </w:rPr>
        <w:t>.</w:t>
      </w:r>
      <w:r w:rsidR="00F95538">
        <w:rPr>
          <w:lang w:eastAsia="hr-HR"/>
        </w:rPr>
        <w:t xml:space="preserve"> Na računu 66 vidljivi su veći prihodi </w:t>
      </w:r>
      <w:r w:rsidR="00C648E5">
        <w:rPr>
          <w:lang w:eastAsia="hr-HR"/>
        </w:rPr>
        <w:t xml:space="preserve">u odnosu na razdoblje iz prošle godine </w:t>
      </w:r>
      <w:r w:rsidR="00F95538">
        <w:rPr>
          <w:lang w:eastAsia="hr-HR"/>
        </w:rPr>
        <w:t xml:space="preserve">jer su prihodi od najma </w:t>
      </w:r>
      <w:r w:rsidR="00F95538">
        <w:rPr>
          <w:lang w:eastAsia="hr-HR"/>
        </w:rPr>
        <w:lastRenderedPageBreak/>
        <w:t>dvorane</w:t>
      </w:r>
      <w:r w:rsidR="00DA4272">
        <w:rPr>
          <w:lang w:eastAsia="hr-HR"/>
        </w:rPr>
        <w:t xml:space="preserve"> veći u ovoj godini</w:t>
      </w:r>
      <w:r>
        <w:rPr>
          <w:lang w:eastAsia="hr-HR"/>
        </w:rPr>
        <w:t>, a isto tako i prihodi od prodaje robe učeničke zadruge i prihodi od sunčane elektrane.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56E39E46" w14:textId="77777777" w:rsidR="00991346" w:rsidRDefault="00A628E2" w:rsidP="00991346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537FAF">
        <w:rPr>
          <w:lang w:eastAsia="hr-HR"/>
        </w:rPr>
        <w:t>1.363.578,40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537FAF">
        <w:rPr>
          <w:lang w:eastAsia="hr-HR"/>
        </w:rPr>
        <w:t>142.863,66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537FAF">
        <w:rPr>
          <w:lang w:eastAsia="hr-HR"/>
        </w:rPr>
        <w:t>2,81</w:t>
      </w:r>
      <w:r w:rsidR="00C05893">
        <w:rPr>
          <w:lang w:eastAsia="hr-HR"/>
        </w:rPr>
        <w:t xml:space="preserve"> </w:t>
      </w:r>
      <w:r w:rsidR="00991346">
        <w:rPr>
          <w:lang w:eastAsia="hr-HR"/>
        </w:rPr>
        <w:t>€</w:t>
      </w:r>
    </w:p>
    <w:p w14:paraId="5DF69601" w14:textId="4FC1BFB0" w:rsidR="00537FAF" w:rsidRDefault="00537FAF" w:rsidP="00991346">
      <w:pPr>
        <w:pStyle w:val="Bezproreda"/>
        <w:numPr>
          <w:ilvl w:val="0"/>
          <w:numId w:val="5"/>
        </w:numPr>
        <w:rPr>
          <w:lang w:eastAsia="hr-HR"/>
        </w:rPr>
      </w:pPr>
      <w:r>
        <w:rPr>
          <w:lang w:eastAsia="hr-HR"/>
        </w:rPr>
        <w:t>37 Naknade građanima i kućanstvima na temelju osiguranja i druge naknade – 8.212,17 €</w:t>
      </w:r>
    </w:p>
    <w:p w14:paraId="4CE082D0" w14:textId="77777777" w:rsidR="004F02B2" w:rsidRDefault="00C05893" w:rsidP="00537FAF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393</w:t>
      </w:r>
      <w:r w:rsidR="00537FAF">
        <w:rPr>
          <w:lang w:eastAsia="hr-HR"/>
        </w:rPr>
        <w:t>,41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Rashodi za </w:t>
      </w:r>
      <w:r w:rsidR="00D1524D">
        <w:rPr>
          <w:lang w:eastAsia="hr-HR"/>
        </w:rPr>
        <w:t>dodatna ulaganja na građevinskim objektima</w:t>
      </w:r>
    </w:p>
    <w:p w14:paraId="19A2A5C0" w14:textId="77777777" w:rsidR="004F02B2" w:rsidRDefault="004F02B2" w:rsidP="004F02B2">
      <w:pPr>
        <w:pStyle w:val="Bezproreda"/>
        <w:numPr>
          <w:ilvl w:val="0"/>
          <w:numId w:val="2"/>
        </w:numPr>
        <w:rPr>
          <w:lang w:eastAsia="hr-HR"/>
        </w:rPr>
      </w:pPr>
      <w:r>
        <w:rPr>
          <w:lang w:eastAsia="hr-HR"/>
        </w:rPr>
        <w:t>42 Rashodi za nabavu proizvedene dugotrajne imovine – 2.687,14 €</w:t>
      </w:r>
    </w:p>
    <w:p w14:paraId="7FA39152" w14:textId="285B734B" w:rsidR="004F02B2" w:rsidRDefault="004F02B2" w:rsidP="004F02B2">
      <w:pPr>
        <w:pStyle w:val="Bezproreda"/>
        <w:numPr>
          <w:ilvl w:val="0"/>
          <w:numId w:val="2"/>
        </w:numPr>
        <w:rPr>
          <w:lang w:eastAsia="hr-HR"/>
        </w:rPr>
      </w:pPr>
      <w:r>
        <w:rPr>
          <w:lang w:eastAsia="hr-HR"/>
        </w:rPr>
        <w:t xml:space="preserve">45 </w:t>
      </w:r>
      <w:r w:rsidR="00A628E2" w:rsidRPr="00A628E2">
        <w:rPr>
          <w:lang w:eastAsia="hr-HR"/>
        </w:rPr>
        <w:t xml:space="preserve">Rashodi za </w:t>
      </w:r>
      <w:r w:rsidR="00D1524D">
        <w:rPr>
          <w:lang w:eastAsia="hr-HR"/>
        </w:rPr>
        <w:t>dodatna ulaganja na građevinskim objektima</w:t>
      </w:r>
      <w:r w:rsidR="00A628E2" w:rsidRPr="00A628E2">
        <w:rPr>
          <w:lang w:eastAsia="hr-HR"/>
        </w:rPr>
        <w:t xml:space="preserve">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1.994,50</w:t>
      </w:r>
      <w:r w:rsidR="00E240EB">
        <w:rPr>
          <w:lang w:eastAsia="hr-HR"/>
        </w:rPr>
        <w:t xml:space="preserve"> </w:t>
      </w:r>
      <w:r w:rsidR="00C05893">
        <w:rPr>
          <w:lang w:eastAsia="hr-HR"/>
        </w:rPr>
        <w:t>€</w:t>
      </w:r>
    </w:p>
    <w:p w14:paraId="2AF537A3" w14:textId="65B0B07C" w:rsidR="00F44693" w:rsidRDefault="00A628E2" w:rsidP="00537FAF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C05893">
        <w:rPr>
          <w:lang w:eastAsia="hr-HR"/>
        </w:rPr>
        <w:t xml:space="preserve">Rashodi za zaposlene </w:t>
      </w:r>
      <w:r w:rsidR="00DA54F6">
        <w:rPr>
          <w:lang w:eastAsia="hr-HR"/>
        </w:rPr>
        <w:t xml:space="preserve">veći su nego </w:t>
      </w:r>
      <w:r w:rsidR="00C05893">
        <w:rPr>
          <w:lang w:eastAsia="hr-HR"/>
        </w:rPr>
        <w:t xml:space="preserve"> u prošloj godini</w:t>
      </w:r>
      <w:r w:rsidR="009F09BA">
        <w:rPr>
          <w:lang w:eastAsia="hr-HR"/>
        </w:rPr>
        <w:t>, a</w:t>
      </w:r>
      <w:r w:rsidR="00C05893">
        <w:rPr>
          <w:lang w:eastAsia="hr-HR"/>
        </w:rPr>
        <w:t xml:space="preserve"> </w:t>
      </w:r>
      <w:r w:rsidR="00DA54F6">
        <w:rPr>
          <w:lang w:eastAsia="hr-HR"/>
        </w:rPr>
        <w:t>razlog tome je povećanje obračunsk</w:t>
      </w:r>
      <w:r w:rsidR="00D1524D">
        <w:rPr>
          <w:lang w:eastAsia="hr-HR"/>
        </w:rPr>
        <w:t>og koeficijenta</w:t>
      </w:r>
      <w:r w:rsidR="00DA54F6">
        <w:rPr>
          <w:lang w:eastAsia="hr-HR"/>
        </w:rPr>
        <w:t xml:space="preserve"> i velikog broja prekovremenih sati.</w:t>
      </w:r>
      <w:r w:rsidR="00991346">
        <w:rPr>
          <w:lang w:eastAsia="hr-HR"/>
        </w:rPr>
        <w:t xml:space="preserve"> Rashod za nabavu dugotrajne imovine se odnosi na  kupljenu lektiru i računala za informatičku učionicu.  </w:t>
      </w:r>
      <w:r w:rsidR="00D1524D">
        <w:rPr>
          <w:lang w:eastAsia="hr-HR"/>
        </w:rPr>
        <w:t>Rashod za dodatna ulaganja na građevinskim objektima je evidentiranje priključka plina na stambenu zgradu škole.</w:t>
      </w:r>
      <w:r w:rsidR="00991346">
        <w:rPr>
          <w:lang w:eastAsia="hr-HR"/>
        </w:rPr>
        <w:t xml:space="preserve"> </w:t>
      </w:r>
    </w:p>
    <w:p w14:paraId="701C7038" w14:textId="45E596A5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školstvo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991346">
        <w:rPr>
          <w:lang w:eastAsia="hr-HR"/>
        </w:rPr>
        <w:t>1.332.552,18</w:t>
      </w:r>
      <w:r w:rsidR="00FA4498">
        <w:rPr>
          <w:lang w:eastAsia="hr-HR"/>
        </w:rPr>
        <w:t xml:space="preserve"> €</w:t>
      </w:r>
      <w:r w:rsidR="009F09BA">
        <w:rPr>
          <w:lang w:eastAsia="hr-HR"/>
        </w:rPr>
        <w:t>,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</w:t>
      </w:r>
      <w:r w:rsidR="00D72EDC">
        <w:rPr>
          <w:lang w:eastAsia="hr-HR"/>
        </w:rPr>
        <w:t xml:space="preserve"> </w:t>
      </w:r>
      <w:proofErr w:type="spellStart"/>
      <w:r w:rsidR="00D72EDC">
        <w:rPr>
          <w:lang w:eastAsia="hr-HR"/>
        </w:rPr>
        <w:t>uskrsnicu</w:t>
      </w:r>
      <w:proofErr w:type="spellEnd"/>
      <w:r w:rsidR="00D72EDC">
        <w:rPr>
          <w:lang w:eastAsia="hr-HR"/>
        </w:rPr>
        <w:t xml:space="preserve"> i</w:t>
      </w:r>
      <w:r w:rsidRPr="00A628E2">
        <w:rPr>
          <w:lang w:eastAsia="hr-HR"/>
        </w:rPr>
        <w:t xml:space="preserve"> regres). Realizacija materijalnih rashoda</w:t>
      </w:r>
      <w:r w:rsidR="00D72EDC">
        <w:rPr>
          <w:lang w:eastAsia="hr-HR"/>
        </w:rPr>
        <w:t xml:space="preserve"> </w:t>
      </w:r>
      <w:r w:rsidRPr="00A628E2">
        <w:rPr>
          <w:lang w:eastAsia="hr-HR"/>
        </w:rPr>
        <w:t xml:space="preserve">unutar ove aktivnosti  odnosi se na </w:t>
      </w:r>
      <w:r w:rsidR="00D72EDC">
        <w:rPr>
          <w:lang w:eastAsia="hr-HR"/>
        </w:rPr>
        <w:t xml:space="preserve">prijevoz na posao i s posla te </w:t>
      </w:r>
      <w:r w:rsidRPr="00A628E2">
        <w:rPr>
          <w:lang w:eastAsia="hr-HR"/>
        </w:rPr>
        <w:t xml:space="preserve">naknadu zbog neispunjena obveze </w:t>
      </w:r>
      <w:proofErr w:type="spellStart"/>
      <w:r w:rsidRPr="00A628E2">
        <w:rPr>
          <w:lang w:eastAsia="hr-HR"/>
        </w:rPr>
        <w:t>kvotnog</w:t>
      </w:r>
      <w:proofErr w:type="spellEnd"/>
      <w:r w:rsidR="00D72EDC">
        <w:rPr>
          <w:lang w:eastAsia="hr-HR"/>
        </w:rPr>
        <w:t xml:space="preserve"> </w:t>
      </w:r>
      <w:r w:rsidRPr="00A628E2">
        <w:rPr>
          <w:lang w:eastAsia="hr-HR"/>
        </w:rPr>
        <w:t xml:space="preserve">zapošljavanja osoba s invaliditetom. Planirana je naknada za </w:t>
      </w:r>
      <w:r w:rsidR="00770410">
        <w:rPr>
          <w:lang w:eastAsia="hr-HR"/>
        </w:rPr>
        <w:t xml:space="preserve">nezapošljavanje </w:t>
      </w:r>
      <w:r w:rsidRPr="00A628E2">
        <w:rPr>
          <w:lang w:eastAsia="hr-HR"/>
        </w:rPr>
        <w:t>2 invalidne osobe</w:t>
      </w:r>
      <w:r w:rsidR="00DE3367">
        <w:rPr>
          <w:lang w:eastAsia="hr-HR"/>
        </w:rPr>
        <w:t>.</w:t>
      </w:r>
      <w:r w:rsidRPr="00A628E2">
        <w:rPr>
          <w:lang w:eastAsia="hr-HR"/>
        </w:rPr>
        <w:br/>
      </w:r>
    </w:p>
    <w:p w14:paraId="0E0A0557" w14:textId="3DC53FD9" w:rsidR="00276296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</w:t>
      </w:r>
      <w:r w:rsidR="00770410">
        <w:rPr>
          <w:lang w:eastAsia="hr-HR"/>
        </w:rPr>
        <w:t>Decentralizirana sredstva</w:t>
      </w:r>
      <w:r w:rsidR="00A628E2" w:rsidRPr="00A628E2">
        <w:rPr>
          <w:lang w:eastAsia="hr-HR"/>
        </w:rPr>
        <w:t xml:space="preserve"> realizirana su sa </w:t>
      </w:r>
      <w:r w:rsidR="00991346">
        <w:rPr>
          <w:lang w:eastAsia="hr-HR"/>
        </w:rPr>
        <w:t>98,94</w:t>
      </w:r>
      <w:r w:rsidR="003B6455">
        <w:rPr>
          <w:lang w:eastAsia="hr-HR"/>
        </w:rPr>
        <w:t xml:space="preserve"> 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 xml:space="preserve">sredstvima ostvarenim iz županijskog proračuna. </w:t>
      </w:r>
      <w:r w:rsidR="00D72EDC">
        <w:rPr>
          <w:lang w:eastAsia="hr-HR"/>
        </w:rPr>
        <w:t>Iz ovih sredstava financiraju se materijalni rashodi potrebni za redovito poslovanje škole (naknada troškova zaposlenima, rashodi za materijal i energiju, rashodi za usluge i ostali materijalni rashodi).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991346">
        <w:rPr>
          <w:lang w:eastAsia="hr-HR"/>
        </w:rPr>
        <w:t>42,90</w:t>
      </w:r>
      <w:r w:rsidR="00DE3367">
        <w:rPr>
          <w:lang w:eastAsia="hr-HR"/>
        </w:rPr>
        <w:t xml:space="preserve"> %</w:t>
      </w:r>
      <w:r w:rsidR="00A628E2" w:rsidRPr="00A628E2">
        <w:rPr>
          <w:lang w:eastAsia="hr-HR"/>
        </w:rPr>
        <w:br/>
        <w:t xml:space="preserve">izvor: Prihodi za posebne namjene </w:t>
      </w:r>
      <w:r w:rsidR="00991346">
        <w:rPr>
          <w:lang w:eastAsia="hr-HR"/>
        </w:rPr>
        <w:t>89,08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>izvor:</w:t>
      </w:r>
      <w:r w:rsidR="006B1A6E">
        <w:rPr>
          <w:lang w:eastAsia="hr-HR"/>
        </w:rPr>
        <w:t xml:space="preserve"> </w:t>
      </w:r>
      <w:r w:rsidR="00A628E2" w:rsidRPr="00A628E2">
        <w:rPr>
          <w:lang w:eastAsia="hr-HR"/>
        </w:rPr>
        <w:t>pomoći</w:t>
      </w:r>
      <w:r w:rsidR="00276296">
        <w:rPr>
          <w:lang w:eastAsia="hr-HR"/>
        </w:rPr>
        <w:t xml:space="preserve"> </w:t>
      </w:r>
      <w:r w:rsidR="00991346">
        <w:rPr>
          <w:lang w:eastAsia="hr-HR"/>
        </w:rPr>
        <w:t>101,18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991346">
        <w:rPr>
          <w:lang w:eastAsia="hr-HR"/>
        </w:rPr>
        <w:t>104,50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Vlastiti prihodi su utrošeni za </w:t>
      </w:r>
      <w:r w:rsidR="00D72EDC">
        <w:rPr>
          <w:lang w:eastAsia="hr-HR"/>
        </w:rPr>
        <w:t>kupovanje sitnog inventara (</w:t>
      </w:r>
      <w:proofErr w:type="spellStart"/>
      <w:r w:rsidR="00D72EDC">
        <w:rPr>
          <w:lang w:eastAsia="hr-HR"/>
        </w:rPr>
        <w:t>scanner</w:t>
      </w:r>
      <w:proofErr w:type="spellEnd"/>
      <w:r w:rsidR="00D72EDC">
        <w:rPr>
          <w:lang w:eastAsia="hr-HR"/>
        </w:rPr>
        <w:t>)</w:t>
      </w:r>
      <w:r w:rsidR="00991346">
        <w:rPr>
          <w:lang w:eastAsia="hr-HR"/>
        </w:rPr>
        <w:t xml:space="preserve"> i dugotrajne imovine (računala i lektira)</w:t>
      </w:r>
      <w:r w:rsidR="006B1A6E">
        <w:rPr>
          <w:lang w:eastAsia="hr-HR"/>
        </w:rPr>
        <w:t xml:space="preserve">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</w:t>
      </w:r>
      <w:r w:rsidR="00991346">
        <w:rPr>
          <w:lang w:eastAsia="hr-HR"/>
        </w:rPr>
        <w:t xml:space="preserve"> i za osiguranje učenika</w:t>
      </w:r>
      <w:r w:rsidR="006B1A6E">
        <w:rPr>
          <w:lang w:eastAsia="hr-HR"/>
        </w:rPr>
        <w:t>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</w:t>
      </w:r>
      <w:r w:rsidR="00600590">
        <w:rPr>
          <w:lang w:eastAsia="hr-HR"/>
        </w:rPr>
        <w:t xml:space="preserve"> i isplatu mentorstva</w:t>
      </w:r>
      <w:r w:rsidR="00E841BA">
        <w:rPr>
          <w:lang w:eastAsia="hr-HR"/>
        </w:rPr>
        <w:t>.</w:t>
      </w:r>
      <w:r w:rsidR="00276296">
        <w:rPr>
          <w:lang w:eastAsia="hr-HR"/>
        </w:rPr>
        <w:t xml:space="preserve"> Na izvoru donacija bilježimo donaciju </w:t>
      </w:r>
      <w:r w:rsidR="00600590">
        <w:rPr>
          <w:lang w:eastAsia="hr-HR"/>
        </w:rPr>
        <w:t xml:space="preserve">Školskog sportskog saveza za projekt „ Aerobik s tatom, na golu s mamom“. Iz tih prihoda nabavljena je potrebna oprema za učenike i učitelja. Donaciju za priključak plina na školsku stambenu zgradu dalo je poduzeće </w:t>
      </w:r>
      <w:proofErr w:type="spellStart"/>
      <w:r w:rsidR="00600590">
        <w:rPr>
          <w:lang w:eastAsia="hr-HR"/>
        </w:rPr>
        <w:t>Cromax</w:t>
      </w:r>
      <w:proofErr w:type="spellEnd"/>
      <w:r w:rsidR="00600590">
        <w:rPr>
          <w:lang w:eastAsia="hr-HR"/>
        </w:rPr>
        <w:t xml:space="preserve"> Slavonski Brod.</w:t>
      </w: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5262547C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</w:t>
      </w:r>
      <w:r w:rsidR="00F74706">
        <w:rPr>
          <w:lang w:eastAsia="hr-HR"/>
        </w:rPr>
        <w:t>38</w:t>
      </w:r>
      <w:r w:rsidRPr="00A628E2">
        <w:rPr>
          <w:lang w:eastAsia="hr-HR"/>
        </w:rPr>
        <w:t xml:space="preserve">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2A37A6">
        <w:rPr>
          <w:lang w:eastAsia="hr-HR"/>
        </w:rPr>
        <w:t>60.342,47</w:t>
      </w:r>
      <w:r w:rsidR="00E841BA">
        <w:rPr>
          <w:lang w:eastAsia="hr-HR"/>
        </w:rPr>
        <w:t xml:space="preserve"> €</w:t>
      </w:r>
      <w:r w:rsidRPr="00A628E2">
        <w:rPr>
          <w:lang w:eastAsia="hr-HR"/>
        </w:rPr>
        <w:t xml:space="preserve"> ili </w:t>
      </w:r>
      <w:r w:rsidR="002A37A6">
        <w:rPr>
          <w:lang w:eastAsia="hr-HR"/>
        </w:rPr>
        <w:t>98,74</w:t>
      </w:r>
      <w:r w:rsidR="00E841BA">
        <w:rPr>
          <w:lang w:eastAsia="hr-HR"/>
        </w:rPr>
        <w:t xml:space="preserve"> </w:t>
      </w:r>
      <w:r w:rsidRPr="00A628E2">
        <w:rPr>
          <w:lang w:eastAsia="hr-HR"/>
        </w:rPr>
        <w:t xml:space="preserve">% </w:t>
      </w:r>
      <w:r w:rsidR="009F09BA">
        <w:rPr>
          <w:lang w:eastAsia="hr-HR"/>
        </w:rPr>
        <w:t xml:space="preserve">, </w:t>
      </w:r>
      <w:r w:rsidRPr="00A628E2">
        <w:rPr>
          <w:lang w:eastAsia="hr-HR"/>
        </w:rPr>
        <w:t>a odnosi se na bruto plaću</w:t>
      </w:r>
      <w:r w:rsidRPr="00A628E2">
        <w:rPr>
          <w:lang w:eastAsia="hr-HR"/>
        </w:rPr>
        <w:br/>
        <w:t>uvećanu za doprinose na plaću,</w:t>
      </w:r>
      <w:r w:rsidR="00F74706">
        <w:rPr>
          <w:lang w:eastAsia="hr-HR"/>
        </w:rPr>
        <w:t xml:space="preserve"> </w:t>
      </w:r>
      <w:proofErr w:type="spellStart"/>
      <w:r w:rsidR="00F74706">
        <w:rPr>
          <w:lang w:eastAsia="hr-HR"/>
        </w:rPr>
        <w:t>uskrsnicu</w:t>
      </w:r>
      <w:proofErr w:type="spellEnd"/>
      <w:r w:rsidR="00F74706">
        <w:rPr>
          <w:lang w:eastAsia="hr-HR"/>
        </w:rPr>
        <w:t>,</w:t>
      </w:r>
      <w:r w:rsidRPr="00A628E2">
        <w:rPr>
          <w:lang w:eastAsia="hr-HR"/>
        </w:rPr>
        <w:t xml:space="preserve"> regres</w:t>
      </w:r>
      <w:r w:rsidR="001365DF">
        <w:rPr>
          <w:lang w:eastAsia="hr-HR"/>
        </w:rPr>
        <w:t>, darove za djecu</w:t>
      </w:r>
      <w:r w:rsidRPr="00A628E2">
        <w:rPr>
          <w:lang w:eastAsia="hr-HR"/>
        </w:rPr>
        <w:t xml:space="preserve"> i naknadu troškova prijevoza na posao i s posla za</w:t>
      </w:r>
      <w:r w:rsidR="00F74706">
        <w:rPr>
          <w:lang w:eastAsia="hr-HR"/>
        </w:rPr>
        <w:t xml:space="preserve"> </w:t>
      </w:r>
      <w:r w:rsidR="002A37A6">
        <w:rPr>
          <w:lang w:eastAsia="hr-HR"/>
        </w:rPr>
        <w:t>pet</w:t>
      </w:r>
      <w:r w:rsidR="00F74706">
        <w:rPr>
          <w:lang w:eastAsia="hr-HR"/>
        </w:rPr>
        <w:t xml:space="preserve"> </w:t>
      </w:r>
      <w:r w:rsidRPr="00A628E2">
        <w:rPr>
          <w:lang w:eastAsia="hr-HR"/>
        </w:rPr>
        <w:t xml:space="preserve">pomoćnika u nastavi. </w:t>
      </w:r>
    </w:p>
    <w:p w14:paraId="5DDB9C7A" w14:textId="0E0D3886" w:rsidR="008910AD" w:rsidRDefault="008910AD" w:rsidP="00C05893">
      <w:pPr>
        <w:pStyle w:val="Bezproreda"/>
        <w:rPr>
          <w:lang w:eastAsia="hr-HR"/>
        </w:rPr>
      </w:pP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4CF941B4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115A6EE2" w14:textId="3256D29C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Unutar projekta školske sheme</w:t>
      </w:r>
      <w:r w:rsidR="00F74706">
        <w:rPr>
          <w:lang w:eastAsia="hr-HR"/>
        </w:rPr>
        <w:t>, škola je odabrala mlijeko</w:t>
      </w:r>
      <w:r w:rsidR="000453FC">
        <w:rPr>
          <w:lang w:eastAsia="hr-HR"/>
        </w:rPr>
        <w:t xml:space="preserve"> u prvom polugodištu, a u drugom mlijeko </w:t>
      </w:r>
      <w:r w:rsidR="002A37A6">
        <w:rPr>
          <w:lang w:eastAsia="hr-HR"/>
        </w:rPr>
        <w:t xml:space="preserve"> i voće</w:t>
      </w:r>
      <w:r w:rsidR="00F74706">
        <w:rPr>
          <w:lang w:eastAsia="hr-HR"/>
        </w:rPr>
        <w:t xml:space="preserve"> </w:t>
      </w:r>
      <w:r>
        <w:rPr>
          <w:lang w:eastAsia="hr-HR"/>
        </w:rPr>
        <w:t xml:space="preserve">te je realizacija izvršena u iznosu od </w:t>
      </w:r>
      <w:r w:rsidR="002A37A6">
        <w:rPr>
          <w:lang w:eastAsia="hr-HR"/>
        </w:rPr>
        <w:t>1.159,45 € ili 77,30</w:t>
      </w:r>
      <w:r w:rsidR="00E841BA">
        <w:rPr>
          <w:lang w:eastAsia="hr-HR"/>
        </w:rPr>
        <w:t xml:space="preserve"> </w:t>
      </w:r>
      <w:r>
        <w:rPr>
          <w:lang w:eastAsia="hr-HR"/>
        </w:rPr>
        <w:t>% plana.</w:t>
      </w:r>
      <w:r w:rsidR="00FE7CC8">
        <w:rPr>
          <w:lang w:eastAsia="hr-HR"/>
        </w:rPr>
        <w:t xml:space="preserve"> 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1A04E934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Projekt </w:t>
      </w:r>
      <w:r w:rsidR="002A37A6">
        <w:rPr>
          <w:lang w:eastAsia="hr-HR"/>
        </w:rPr>
        <w:t xml:space="preserve">je realiziran u prosincu, odnosi se na 18 teglica meda od 370 ml za </w:t>
      </w:r>
      <w:proofErr w:type="spellStart"/>
      <w:r w:rsidR="002A37A6">
        <w:rPr>
          <w:lang w:eastAsia="hr-HR"/>
        </w:rPr>
        <w:t>prvašiće</w:t>
      </w:r>
      <w:proofErr w:type="spellEnd"/>
      <w:r w:rsidR="002A37A6">
        <w:rPr>
          <w:lang w:eastAsia="hr-HR"/>
        </w:rPr>
        <w:t xml:space="preserve"> školske godine 2025./2026.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179F7189" w:rsidR="005E1B5C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Ovu aktivnost čine troškovi nabave namirnica za školsku kuhinju te dostava obroka u PŠ.  Ostvareno je u odnosu na plan </w:t>
      </w:r>
      <w:r w:rsidR="002A37A6">
        <w:rPr>
          <w:lang w:eastAsia="hr-HR"/>
        </w:rPr>
        <w:t>92,67</w:t>
      </w:r>
      <w:r>
        <w:rPr>
          <w:lang w:eastAsia="hr-HR"/>
        </w:rPr>
        <w:t xml:space="preserve"> % ili </w:t>
      </w:r>
      <w:r w:rsidR="002A37A6">
        <w:rPr>
          <w:lang w:eastAsia="hr-HR"/>
        </w:rPr>
        <w:t>38.922,71</w:t>
      </w:r>
      <w:r>
        <w:rPr>
          <w:lang w:eastAsia="hr-HR"/>
        </w:rPr>
        <w:t xml:space="preserve"> €.</w:t>
      </w:r>
    </w:p>
    <w:p w14:paraId="78636EA0" w14:textId="24656479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E8432B">
        <w:rPr>
          <w:lang w:eastAsia="hr-HR"/>
        </w:rPr>
        <w:t xml:space="preserve">Igor </w:t>
      </w:r>
      <w:proofErr w:type="spellStart"/>
      <w:r w:rsidR="00E8432B">
        <w:rPr>
          <w:lang w:eastAsia="hr-HR"/>
        </w:rPr>
        <w:t>Tomek</w:t>
      </w:r>
      <w:proofErr w:type="spellEnd"/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E90"/>
    <w:multiLevelType w:val="hybridMultilevel"/>
    <w:tmpl w:val="B0844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270"/>
    <w:multiLevelType w:val="hybridMultilevel"/>
    <w:tmpl w:val="116CA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0CF7"/>
    <w:multiLevelType w:val="hybridMultilevel"/>
    <w:tmpl w:val="FFA64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E79"/>
    <w:multiLevelType w:val="hybridMultilevel"/>
    <w:tmpl w:val="8214B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A1242"/>
    <w:multiLevelType w:val="hybridMultilevel"/>
    <w:tmpl w:val="522A9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453FC"/>
    <w:rsid w:val="00090926"/>
    <w:rsid w:val="000F1E6F"/>
    <w:rsid w:val="001365DF"/>
    <w:rsid w:val="00136A29"/>
    <w:rsid w:val="001553E8"/>
    <w:rsid w:val="00160C30"/>
    <w:rsid w:val="001975AF"/>
    <w:rsid w:val="001A68AF"/>
    <w:rsid w:val="00276296"/>
    <w:rsid w:val="002A37A6"/>
    <w:rsid w:val="002F28D5"/>
    <w:rsid w:val="00380A46"/>
    <w:rsid w:val="003918B2"/>
    <w:rsid w:val="003B6455"/>
    <w:rsid w:val="00491049"/>
    <w:rsid w:val="004F02B2"/>
    <w:rsid w:val="005136E5"/>
    <w:rsid w:val="00537FAF"/>
    <w:rsid w:val="0054454A"/>
    <w:rsid w:val="005A73CF"/>
    <w:rsid w:val="005E1B5C"/>
    <w:rsid w:val="00600590"/>
    <w:rsid w:val="006B1A6E"/>
    <w:rsid w:val="006B6014"/>
    <w:rsid w:val="006C2455"/>
    <w:rsid w:val="006C7793"/>
    <w:rsid w:val="00710683"/>
    <w:rsid w:val="007413FF"/>
    <w:rsid w:val="00770410"/>
    <w:rsid w:val="008910AD"/>
    <w:rsid w:val="00943AEC"/>
    <w:rsid w:val="00991346"/>
    <w:rsid w:val="009F09BA"/>
    <w:rsid w:val="00A628E2"/>
    <w:rsid w:val="00A70E5A"/>
    <w:rsid w:val="00A86618"/>
    <w:rsid w:val="00AB6504"/>
    <w:rsid w:val="00AC32DA"/>
    <w:rsid w:val="00AC6695"/>
    <w:rsid w:val="00AF40B6"/>
    <w:rsid w:val="00B06154"/>
    <w:rsid w:val="00C05893"/>
    <w:rsid w:val="00C52EAA"/>
    <w:rsid w:val="00C648E5"/>
    <w:rsid w:val="00CB57A0"/>
    <w:rsid w:val="00CC3402"/>
    <w:rsid w:val="00D01FCB"/>
    <w:rsid w:val="00D1524D"/>
    <w:rsid w:val="00D270C2"/>
    <w:rsid w:val="00D666C7"/>
    <w:rsid w:val="00D72EDC"/>
    <w:rsid w:val="00D77701"/>
    <w:rsid w:val="00DA4272"/>
    <w:rsid w:val="00DA54F6"/>
    <w:rsid w:val="00DE3367"/>
    <w:rsid w:val="00E240EB"/>
    <w:rsid w:val="00E841BA"/>
    <w:rsid w:val="00E8432B"/>
    <w:rsid w:val="00F44693"/>
    <w:rsid w:val="00F50A7E"/>
    <w:rsid w:val="00F74706"/>
    <w:rsid w:val="00F95538"/>
    <w:rsid w:val="00FA4498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11</cp:revision>
  <cp:lastPrinted>2026-02-09T11:13:00Z</cp:lastPrinted>
  <dcterms:created xsi:type="dcterms:W3CDTF">2026-01-29T09:48:00Z</dcterms:created>
  <dcterms:modified xsi:type="dcterms:W3CDTF">2026-02-09T11:13:00Z</dcterms:modified>
</cp:coreProperties>
</file>