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523" w14:textId="77777777" w:rsidR="000F32C7" w:rsidRDefault="000F32C7" w:rsidP="00A71FC3">
      <w:pPr>
        <w:outlineLvl w:val="0"/>
      </w:pPr>
    </w:p>
    <w:p w14:paraId="29A71AF2" w14:textId="77777777"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14:paraId="0AC1777B" w14:textId="77777777"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>Osnovna škola „Matija Gubec“ Cernik</w:t>
      </w:r>
    </w:p>
    <w:p w14:paraId="3B115AB0" w14:textId="77777777"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>35 404 Cernik, Školska 20</w:t>
      </w:r>
    </w:p>
    <w:p w14:paraId="23D0E3D6" w14:textId="77777777" w:rsidR="00456CF1" w:rsidRDefault="00456CF1"/>
    <w:p w14:paraId="1FC150AD" w14:textId="77777777" w:rsidR="00862C0F" w:rsidRDefault="00862C0F"/>
    <w:p w14:paraId="5640BEB5" w14:textId="77777777" w:rsidR="008B0824" w:rsidRDefault="008B0824"/>
    <w:p w14:paraId="0CE118FF" w14:textId="77777777"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88B00D" w14:textId="77777777"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2B7AEF">
        <w:t>400-02/22</w:t>
      </w:r>
      <w:r w:rsidR="009D7278">
        <w:t>-</w:t>
      </w:r>
      <w:r w:rsidR="00123254">
        <w:t>01/</w:t>
      </w:r>
      <w:r w:rsidR="002B7AEF">
        <w:t>01</w:t>
      </w:r>
    </w:p>
    <w:p w14:paraId="40D6AC27" w14:textId="77777777" w:rsidR="00874B7A" w:rsidRDefault="00D85868" w:rsidP="00A71FC3">
      <w:pPr>
        <w:outlineLvl w:val="0"/>
      </w:pPr>
      <w:r>
        <w:t>Ur.br</w:t>
      </w:r>
      <w:r w:rsidR="008B0824">
        <w:t>.</w:t>
      </w:r>
      <w:r w:rsidR="002B7AEF">
        <w:t>: 2178-16-1-22</w:t>
      </w:r>
      <w:r w:rsidR="00D802B8">
        <w:t>-1</w:t>
      </w:r>
    </w:p>
    <w:p w14:paraId="06972E4F" w14:textId="77777777" w:rsidR="00874B7A" w:rsidRDefault="00874B7A" w:rsidP="00DA4F43">
      <w:pPr>
        <w:tabs>
          <w:tab w:val="center" w:pos="4140"/>
          <w:tab w:val="right" w:pos="7380"/>
        </w:tabs>
      </w:pPr>
    </w:p>
    <w:p w14:paraId="70D853E1" w14:textId="77777777" w:rsidR="00874B7A" w:rsidRDefault="00874B7A" w:rsidP="00DA4F43">
      <w:pPr>
        <w:tabs>
          <w:tab w:val="center" w:pos="4140"/>
          <w:tab w:val="right" w:pos="7380"/>
        </w:tabs>
      </w:pPr>
    </w:p>
    <w:p w14:paraId="3616CE02" w14:textId="77777777"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14:paraId="23E9F287" w14:textId="77777777" w:rsidR="00874B7A" w:rsidRDefault="00D85868" w:rsidP="00874B7A">
      <w:r>
        <w:t xml:space="preserve">    </w:t>
      </w:r>
      <w:r w:rsidR="001051D7">
        <w:t>Matični broj škole: 03000311</w:t>
      </w:r>
    </w:p>
    <w:p w14:paraId="6109E9AD" w14:textId="77777777"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14:paraId="54567A5F" w14:textId="77777777" w:rsidR="008B0824" w:rsidRDefault="008B0824" w:rsidP="00874B7A">
      <w:pPr>
        <w:tabs>
          <w:tab w:val="center" w:pos="4140"/>
          <w:tab w:val="right" w:pos="7380"/>
        </w:tabs>
        <w:ind w:left="540"/>
      </w:pPr>
    </w:p>
    <w:p w14:paraId="14A17744" w14:textId="77777777"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14:paraId="11691CA2" w14:textId="77777777"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14:paraId="087C3DC9" w14:textId="77777777"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14:paraId="215AEDB6" w14:textId="77777777" w:rsidR="00760DC0" w:rsidRDefault="00760DC0" w:rsidP="00760DC0"/>
    <w:p w14:paraId="385E209B" w14:textId="77777777" w:rsidR="00760DC0" w:rsidRDefault="00760DC0" w:rsidP="009232B2"/>
    <w:p w14:paraId="0E15AAB6" w14:textId="77777777" w:rsidR="00862C0F" w:rsidRDefault="00862C0F" w:rsidP="009232B2"/>
    <w:p w14:paraId="7042B7C5" w14:textId="77777777" w:rsidR="009232B2" w:rsidRDefault="009232B2" w:rsidP="009232B2"/>
    <w:p w14:paraId="4A90EE7C" w14:textId="77777777"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61384F">
        <w:rPr>
          <w:b/>
        </w:rPr>
        <w:t xml:space="preserve"> ZA 2023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965BD4">
        <w:rPr>
          <w:b/>
        </w:rPr>
        <w:t>202</w:t>
      </w:r>
      <w:r w:rsidR="0061384F">
        <w:rPr>
          <w:b/>
        </w:rPr>
        <w:t>4</w:t>
      </w:r>
      <w:r w:rsidR="005906B7">
        <w:rPr>
          <w:b/>
        </w:rPr>
        <w:t xml:space="preserve">. I </w:t>
      </w:r>
      <w:r w:rsidR="00A103E6">
        <w:rPr>
          <w:b/>
        </w:rPr>
        <w:t>202</w:t>
      </w:r>
      <w:r w:rsidR="0061384F">
        <w:rPr>
          <w:b/>
        </w:rPr>
        <w:t>5</w:t>
      </w:r>
      <w:r w:rsidR="000638B9">
        <w:rPr>
          <w:b/>
        </w:rPr>
        <w:t>. GODINU</w:t>
      </w:r>
    </w:p>
    <w:p w14:paraId="3519F6DF" w14:textId="77777777" w:rsidR="005F7187" w:rsidRDefault="005F7187" w:rsidP="00787871">
      <w:pPr>
        <w:jc w:val="center"/>
        <w:rPr>
          <w:b/>
        </w:rPr>
      </w:pPr>
    </w:p>
    <w:p w14:paraId="40208B19" w14:textId="77777777" w:rsidR="008B0824" w:rsidRDefault="008B0824" w:rsidP="00787871">
      <w:pPr>
        <w:jc w:val="center"/>
        <w:rPr>
          <w:b/>
        </w:rPr>
      </w:pPr>
    </w:p>
    <w:p w14:paraId="3B851FDD" w14:textId="77777777"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14:paraId="7D243CB2" w14:textId="77777777" w:rsidR="00434619" w:rsidRPr="00787871" w:rsidRDefault="00434619" w:rsidP="00D85653">
      <w:pPr>
        <w:jc w:val="both"/>
        <w:rPr>
          <w:b/>
        </w:rPr>
      </w:pPr>
    </w:p>
    <w:p w14:paraId="72396994" w14:textId="77777777" w:rsidR="00434619" w:rsidRDefault="001051D7" w:rsidP="00D85653">
      <w:pPr>
        <w:ind w:firstLine="708"/>
        <w:jc w:val="both"/>
      </w:pPr>
      <w:r>
        <w:t xml:space="preserve"> Osnovna škola „Matija Gubec“ Cernik</w:t>
      </w:r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>i izvannastavne aktivnosti</w:t>
      </w:r>
      <w:r w:rsidR="00D32D50">
        <w:t>,</w:t>
      </w:r>
      <w:r w:rsidR="00BE3225">
        <w:t xml:space="preserve"> </w:t>
      </w:r>
      <w:r w:rsidR="00434619">
        <w:t xml:space="preserve">sukladno </w:t>
      </w:r>
      <w:r w:rsidR="00383898">
        <w:t xml:space="preserve">Predmetnim kurikulumima, </w:t>
      </w:r>
      <w:r w:rsidR="00434619">
        <w:t xml:space="preserve">Godišnjem planu i programu rada </w:t>
      </w:r>
      <w:r w:rsidR="00BE3225">
        <w:t>Š</w:t>
      </w:r>
      <w:r w:rsidR="00D32D50">
        <w:t>kole</w:t>
      </w:r>
      <w:r w:rsidR="00434619">
        <w:t xml:space="preserve"> te Školskom kurikulumu za </w:t>
      </w:r>
      <w:r w:rsidR="00383898">
        <w:t xml:space="preserve">svaku </w:t>
      </w:r>
      <w:r w:rsidR="00434619">
        <w:t>školsku</w:t>
      </w:r>
      <w:r w:rsidR="00383898">
        <w:t xml:space="preserve"> godinu.</w:t>
      </w:r>
    </w:p>
    <w:p w14:paraId="1F9448C8" w14:textId="77777777" w:rsidR="008E78A4" w:rsidRDefault="00434619" w:rsidP="00D85653">
      <w:pPr>
        <w:jc w:val="both"/>
      </w:pPr>
      <w:r>
        <w:tab/>
        <w:t xml:space="preserve">Školu </w:t>
      </w:r>
      <w:r w:rsidR="0061384F">
        <w:t>pohađa 217</w:t>
      </w:r>
      <w:r w:rsidR="00965BD4">
        <w:t xml:space="preserve"> učenika raspoređenih u 18</w:t>
      </w:r>
      <w:r w:rsidR="00D32D50">
        <w:t xml:space="preserve"> razrednih odjela, od toga</w:t>
      </w:r>
      <w:r w:rsidR="001051D7">
        <w:t xml:space="preserve"> u mati</w:t>
      </w:r>
      <w:r w:rsidR="00993583">
        <w:t>čnoj školi  6</w:t>
      </w:r>
      <w:r w:rsidR="001051D7">
        <w:t xml:space="preserve"> odjela razredne nastave i 8</w:t>
      </w:r>
      <w:r w:rsidR="00760DC0">
        <w:t xml:space="preserve"> odjela predmetne nastave</w:t>
      </w:r>
      <w:r w:rsidR="00126BAE">
        <w:t xml:space="preserve">, </w:t>
      </w:r>
      <w:r w:rsidR="001051D7">
        <w:t>po jedan kombinira</w:t>
      </w:r>
      <w:r w:rsidR="00965BD4">
        <w:t xml:space="preserve">ni </w:t>
      </w:r>
      <w:r w:rsidR="00633EEB">
        <w:t>razred razredne nastave u tri</w:t>
      </w:r>
      <w:r w:rsidR="00965BD4">
        <w:t xml:space="preserve"> područne škole</w:t>
      </w:r>
      <w:r w:rsidR="00633EEB">
        <w:t xml:space="preserve"> te jedan čisti odjel u PŠ Baćindol </w:t>
      </w:r>
      <w:r w:rsidR="00D83AC9">
        <w:t>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14:paraId="16B8D76F" w14:textId="77777777" w:rsidR="00A71FC3" w:rsidRDefault="00434619" w:rsidP="00D85653">
      <w:pPr>
        <w:jc w:val="both"/>
      </w:pPr>
      <w:r>
        <w:tab/>
      </w:r>
    </w:p>
    <w:p w14:paraId="4C2D6855" w14:textId="77777777" w:rsidR="00434619" w:rsidRDefault="00434619" w:rsidP="00D85653">
      <w:pPr>
        <w:jc w:val="both"/>
      </w:pPr>
    </w:p>
    <w:p w14:paraId="050868C3" w14:textId="77777777"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14:paraId="2EA7B930" w14:textId="77777777" w:rsidR="00A71FC3" w:rsidRDefault="00A71FC3" w:rsidP="00D85653">
      <w:pPr>
        <w:jc w:val="both"/>
        <w:rPr>
          <w:b/>
        </w:rPr>
      </w:pPr>
    </w:p>
    <w:p w14:paraId="737830B0" w14:textId="77777777"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14:paraId="64F0D05D" w14:textId="77777777"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14:paraId="05766684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14:paraId="2A478A8E" w14:textId="77777777"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14:paraId="159B30B2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14:paraId="7DA7DE99" w14:textId="77777777" w:rsidR="009B3A13" w:rsidRDefault="009B3A13" w:rsidP="00D85653">
      <w:pPr>
        <w:jc w:val="both"/>
      </w:pPr>
    </w:p>
    <w:p w14:paraId="2C138DCB" w14:textId="77777777" w:rsidR="00A71FC3" w:rsidRDefault="00A71FC3" w:rsidP="00D85653">
      <w:pPr>
        <w:jc w:val="both"/>
      </w:pPr>
    </w:p>
    <w:p w14:paraId="0533621E" w14:textId="77777777"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14:paraId="1F47C34F" w14:textId="77777777" w:rsidR="00A71FC3" w:rsidRDefault="00A71FC3" w:rsidP="00D85653">
      <w:pPr>
        <w:jc w:val="both"/>
        <w:rPr>
          <w:b/>
        </w:rPr>
      </w:pPr>
    </w:p>
    <w:p w14:paraId="1F1C8033" w14:textId="77777777"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DE703A">
        <w:t>,</w:t>
      </w:r>
      <w:r w:rsidR="00CE59B4">
        <w:t xml:space="preserve"> 152./14.</w:t>
      </w:r>
      <w:r w:rsidR="009571ED">
        <w:t xml:space="preserve">, </w:t>
      </w:r>
      <w:r w:rsidR="00DE703A">
        <w:t xml:space="preserve"> 07/17</w:t>
      </w:r>
      <w:r w:rsidR="00633EEB">
        <w:t>.,</w:t>
      </w:r>
      <w:r w:rsidR="009571ED">
        <w:t xml:space="preserve"> 68/18.</w:t>
      </w:r>
      <w:r w:rsidR="00633EEB">
        <w:t>, 98/19. i 64/20.</w:t>
      </w:r>
      <w:r w:rsidR="00B85189">
        <w:t>)</w:t>
      </w:r>
    </w:p>
    <w:p w14:paraId="236ED77B" w14:textId="77777777"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633EEB">
        <w:t xml:space="preserve">47/99., </w:t>
      </w:r>
      <w:r>
        <w:t>35/08</w:t>
      </w:r>
      <w:r w:rsidR="00B85189">
        <w:t>.</w:t>
      </w:r>
      <w:r w:rsidR="00633EEB">
        <w:t xml:space="preserve"> i 127/19.</w:t>
      </w:r>
      <w:r w:rsidR="00B85189">
        <w:t>)</w:t>
      </w:r>
    </w:p>
    <w:p w14:paraId="6E4D50F0" w14:textId="77777777" w:rsidR="00DE703A" w:rsidRDefault="009B3A13" w:rsidP="00D85653">
      <w:pPr>
        <w:numPr>
          <w:ilvl w:val="0"/>
          <w:numId w:val="15"/>
        </w:numPr>
        <w:jc w:val="both"/>
      </w:pPr>
      <w:r>
        <w:lastRenderedPageBreak/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B85189">
        <w:t xml:space="preserve"> </w:t>
      </w:r>
      <w:r>
        <w:t>87/08.</w:t>
      </w:r>
      <w:r w:rsidR="003A5468">
        <w:t>, 136./12.,</w:t>
      </w:r>
      <w:r w:rsidR="00CE59B4">
        <w:t xml:space="preserve"> 15./15.</w:t>
      </w:r>
      <w:r w:rsidR="003A5468">
        <w:t xml:space="preserve"> i 144/21</w:t>
      </w:r>
      <w:r>
        <w:t>),</w:t>
      </w:r>
      <w:r w:rsidR="00C67877">
        <w:t xml:space="preserve"> </w:t>
      </w:r>
    </w:p>
    <w:p w14:paraId="2726FD6D" w14:textId="77777777" w:rsidR="00DE703A" w:rsidRDefault="009B3A13" w:rsidP="00D85653">
      <w:pPr>
        <w:numPr>
          <w:ilvl w:val="0"/>
          <w:numId w:val="15"/>
        </w:numPr>
        <w:jc w:val="both"/>
      </w:pPr>
      <w:r>
        <w:t>Pravilnik o p</w:t>
      </w:r>
      <w:r w:rsidR="00B85189">
        <w:t>roračunskim klasifikacijama (NN</w:t>
      </w:r>
      <w:r w:rsidR="00407475">
        <w:t xml:space="preserve"> br. </w:t>
      </w:r>
      <w:r>
        <w:t>26/10.</w:t>
      </w:r>
      <w:r w:rsidR="00633EEB">
        <w:t xml:space="preserve">, </w:t>
      </w:r>
      <w:r w:rsidR="00737812">
        <w:t>120/13</w:t>
      </w:r>
      <w:r w:rsidR="00633EEB">
        <w:t>. i 01/20.</w:t>
      </w:r>
      <w:r w:rsidR="00DE703A">
        <w:t xml:space="preserve">) </w:t>
      </w:r>
    </w:p>
    <w:p w14:paraId="1DD50A5A" w14:textId="77777777" w:rsidR="009B3A13" w:rsidRDefault="009B3A13" w:rsidP="00D857E4">
      <w:pPr>
        <w:pStyle w:val="Odlomakpopisa"/>
        <w:numPr>
          <w:ilvl w:val="0"/>
          <w:numId w:val="15"/>
        </w:numPr>
        <w:jc w:val="both"/>
      </w:pPr>
      <w:r>
        <w:t>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114/10.</w:t>
      </w:r>
      <w:r w:rsidR="00F77C3F">
        <w:t>,</w:t>
      </w:r>
      <w:r w:rsidR="00B85189">
        <w:t xml:space="preserve"> 31/11.</w:t>
      </w:r>
      <w:r w:rsidR="00DE703A">
        <w:t xml:space="preserve">, </w:t>
      </w:r>
      <w:r w:rsidR="00F77C3F">
        <w:t>124./14.</w:t>
      </w:r>
      <w:r w:rsidR="00FD4634">
        <w:t>,115/15,</w:t>
      </w:r>
      <w:r w:rsidR="00DE703A">
        <w:t xml:space="preserve"> 87/16.</w:t>
      </w:r>
      <w:r w:rsidR="00633EEB">
        <w:t xml:space="preserve">, </w:t>
      </w:r>
      <w:r w:rsidR="00FD4634">
        <w:t>3/18.</w:t>
      </w:r>
      <w:r w:rsidR="00633EEB">
        <w:t xml:space="preserve"> 126/19. i 108/20.</w:t>
      </w:r>
      <w:r>
        <w:t>)</w:t>
      </w:r>
    </w:p>
    <w:p w14:paraId="10FAEAAD" w14:textId="77777777" w:rsidR="00DE703A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61384F">
        <w:t xml:space="preserve"> 2022./2023</w:t>
      </w:r>
      <w:r w:rsidR="008123C1">
        <w:t>.</w:t>
      </w:r>
      <w:r>
        <w:t xml:space="preserve">, </w:t>
      </w:r>
    </w:p>
    <w:p w14:paraId="0509A95F" w14:textId="77777777" w:rsidR="004C0DC9" w:rsidRDefault="006E76ED" w:rsidP="00D85653">
      <w:pPr>
        <w:numPr>
          <w:ilvl w:val="0"/>
          <w:numId w:val="15"/>
        </w:numPr>
        <w:jc w:val="both"/>
      </w:pPr>
      <w:r>
        <w:t xml:space="preserve">Školski </w:t>
      </w:r>
      <w:r w:rsidR="00F22BDA">
        <w:t>kurikulum Osnovne škole „Matija Gubec</w:t>
      </w:r>
      <w:r>
        <w:t>“</w:t>
      </w:r>
      <w:r w:rsidR="00F22BDA">
        <w:t xml:space="preserve"> Cernik</w:t>
      </w:r>
    </w:p>
    <w:p w14:paraId="5EB34FAA" w14:textId="77777777" w:rsidR="00A71FC3" w:rsidRDefault="00A71FC3" w:rsidP="00D85653">
      <w:pPr>
        <w:ind w:left="360"/>
        <w:jc w:val="both"/>
      </w:pPr>
    </w:p>
    <w:p w14:paraId="200428C4" w14:textId="77777777" w:rsidR="00A71FC3" w:rsidRDefault="00A71FC3" w:rsidP="00D85653">
      <w:pPr>
        <w:ind w:left="360"/>
        <w:jc w:val="both"/>
      </w:pPr>
    </w:p>
    <w:p w14:paraId="5A9CB248" w14:textId="77777777" w:rsidR="004C0DC9" w:rsidRPr="000A2B83" w:rsidRDefault="004C0DC9" w:rsidP="000A2B8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Usklađenost ciljeva,</w:t>
      </w:r>
      <w:r w:rsidR="00C67877" w:rsidRPr="000A2B83">
        <w:rPr>
          <w:b/>
        </w:rPr>
        <w:t xml:space="preserve"> </w:t>
      </w:r>
      <w:r w:rsidRPr="000A2B83">
        <w:rPr>
          <w:b/>
        </w:rPr>
        <w:t>strategije programa s dokumentima dugoročnog razvoja</w:t>
      </w:r>
    </w:p>
    <w:p w14:paraId="48704E25" w14:textId="77777777" w:rsidR="00A71FC3" w:rsidRDefault="00A71FC3" w:rsidP="00D85653">
      <w:pPr>
        <w:jc w:val="both"/>
        <w:rPr>
          <w:b/>
        </w:rPr>
      </w:pPr>
    </w:p>
    <w:p w14:paraId="1772C10D" w14:textId="77777777" w:rsidR="008123C1" w:rsidRDefault="008123C1" w:rsidP="00D85653">
      <w:pPr>
        <w:jc w:val="both"/>
        <w:rPr>
          <w:b/>
        </w:rPr>
      </w:pPr>
    </w:p>
    <w:p w14:paraId="2864E0DF" w14:textId="77777777"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</w:t>
      </w:r>
      <w:r w:rsidR="000A2B83">
        <w:t>, a</w:t>
      </w:r>
      <w:r>
        <w:t xml:space="preserve"> prema planu i programu koje je donijelo </w:t>
      </w:r>
      <w:r w:rsidR="000A2B83">
        <w:t>Ministarstvo znanosti i</w:t>
      </w:r>
      <w:r w:rsidR="00C67877">
        <w:t xml:space="preserve"> </w:t>
      </w:r>
      <w:r w:rsidR="000A2B83">
        <w:t>obrazovanja</w:t>
      </w:r>
      <w:r>
        <w:t>.</w:t>
      </w:r>
      <w:r w:rsidR="00874B7A">
        <w:t xml:space="preserve"> </w:t>
      </w:r>
      <w:r>
        <w:t>Vertikala uskl</w:t>
      </w:r>
      <w:r w:rsidR="000A2B83">
        <w:t>ađivanja ciljeva i programa MZO</w:t>
      </w:r>
      <w:r>
        <w:t xml:space="preserve">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14:paraId="411399FD" w14:textId="77777777"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>izvršenju financijskog plana je</w:t>
      </w:r>
      <w:r w:rsidR="000A2B83">
        <w:t>,</w:t>
      </w:r>
      <w:r>
        <w:t xml:space="preserve"> </w:t>
      </w:r>
      <w:r w:rsidR="00B5084E">
        <w:t>na primjer, pomak određenih aktivnosti unutar školske godine iz jednog polugodišta u drugo</w:t>
      </w:r>
      <w:r w:rsidR="000A2B83">
        <w:t>,</w:t>
      </w:r>
      <w:r>
        <w:t xml:space="preserve"> što</w:t>
      </w:r>
      <w:r w:rsidR="00B5084E">
        <w:t xml:space="preserve"> uzrokuje promjene u izvršenju financijskog plana za dvije fiskalne godine.</w:t>
      </w:r>
    </w:p>
    <w:p w14:paraId="2807439F" w14:textId="77777777" w:rsidR="00A71FC3" w:rsidRDefault="00A71FC3" w:rsidP="00D85653">
      <w:pPr>
        <w:jc w:val="both"/>
        <w:rPr>
          <w:b/>
        </w:rPr>
      </w:pPr>
    </w:p>
    <w:p w14:paraId="39B9F3E4" w14:textId="77777777" w:rsidR="003A1089" w:rsidRDefault="003A1089" w:rsidP="00D85653">
      <w:pPr>
        <w:jc w:val="both"/>
        <w:rPr>
          <w:b/>
        </w:rPr>
      </w:pPr>
    </w:p>
    <w:p w14:paraId="2DCE5675" w14:textId="77777777" w:rsidR="008123C1" w:rsidRDefault="008123C1" w:rsidP="00D85653">
      <w:pPr>
        <w:jc w:val="both"/>
        <w:rPr>
          <w:b/>
        </w:rPr>
      </w:pPr>
    </w:p>
    <w:p w14:paraId="5FD79E2B" w14:textId="77777777" w:rsidR="003A1089" w:rsidRPr="000A2B83" w:rsidRDefault="003A1089" w:rsidP="00D8565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Ishodište i pokazatelji na kojima se zasnivaju izračuni i ocjene potrebnih sredstava za provođenje programa</w:t>
      </w:r>
    </w:p>
    <w:p w14:paraId="6DDBC563" w14:textId="77777777" w:rsidR="003A1089" w:rsidRDefault="003A1089" w:rsidP="00D85653">
      <w:pPr>
        <w:jc w:val="both"/>
        <w:rPr>
          <w:b/>
        </w:rPr>
      </w:pPr>
    </w:p>
    <w:p w14:paraId="23306B24" w14:textId="77777777" w:rsidR="008123C1" w:rsidRDefault="008123C1" w:rsidP="00D85653">
      <w:pPr>
        <w:jc w:val="both"/>
        <w:rPr>
          <w:b/>
        </w:rPr>
      </w:pPr>
    </w:p>
    <w:p w14:paraId="138B0771" w14:textId="77777777" w:rsidR="003A1089" w:rsidRDefault="00FD4634" w:rsidP="00D85653">
      <w:pPr>
        <w:ind w:left="420"/>
        <w:jc w:val="both"/>
        <w:rPr>
          <w:b/>
        </w:rPr>
      </w:pPr>
      <w:r>
        <w:rPr>
          <w:b/>
        </w:rPr>
        <w:t xml:space="preserve">    </w:t>
      </w:r>
      <w:r w:rsidR="003A1089">
        <w:rPr>
          <w:b/>
        </w:rPr>
        <w:t>Izvori sredstava za financiranje rada škole su:</w:t>
      </w:r>
    </w:p>
    <w:p w14:paraId="57A938D7" w14:textId="77777777" w:rsidR="00FD4634" w:rsidRDefault="00FD4634" w:rsidP="00D85653">
      <w:pPr>
        <w:ind w:left="420"/>
        <w:jc w:val="both"/>
        <w:rPr>
          <w:b/>
        </w:rPr>
      </w:pPr>
    </w:p>
    <w:p w14:paraId="11F67231" w14:textId="77777777" w:rsidR="003A1089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Opći prihodi i primici</w:t>
      </w:r>
    </w:p>
    <w:p w14:paraId="36876C5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Vlastiti prihodi</w:t>
      </w:r>
    </w:p>
    <w:p w14:paraId="0454E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Prihodi za posebne namjene</w:t>
      </w:r>
    </w:p>
    <w:p w14:paraId="4802D3A1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Pomoći</w:t>
      </w:r>
    </w:p>
    <w:p w14:paraId="2F7DB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Donacije</w:t>
      </w:r>
    </w:p>
    <w:p w14:paraId="04B681C2" w14:textId="77777777" w:rsidR="008123C1" w:rsidRDefault="008123C1" w:rsidP="00D85653">
      <w:pPr>
        <w:ind w:left="420"/>
        <w:jc w:val="both"/>
        <w:rPr>
          <w:b/>
        </w:rPr>
      </w:pPr>
    </w:p>
    <w:p w14:paraId="689C91DE" w14:textId="77777777" w:rsidR="00BE3225" w:rsidRDefault="003A1089" w:rsidP="00D85653">
      <w:pPr>
        <w:jc w:val="both"/>
      </w:pPr>
      <w:r>
        <w:t xml:space="preserve">           </w:t>
      </w:r>
    </w:p>
    <w:p w14:paraId="5994D9CC" w14:textId="77777777" w:rsidR="00BE3225" w:rsidRDefault="003A1089" w:rsidP="00D85653">
      <w:pPr>
        <w:jc w:val="both"/>
      </w:pPr>
      <w:r>
        <w:t xml:space="preserve">    </w:t>
      </w:r>
    </w:p>
    <w:p w14:paraId="3E745362" w14:textId="77777777" w:rsidR="003A1089" w:rsidRDefault="00BE3225" w:rsidP="00D85653">
      <w:pPr>
        <w:jc w:val="both"/>
        <w:rPr>
          <w:b/>
        </w:rPr>
      </w:pPr>
      <w:r>
        <w:tab/>
      </w:r>
      <w:r w:rsidR="00EC072C">
        <w:rPr>
          <w:b/>
        </w:rPr>
        <w:t>Opći prihodi i primici</w:t>
      </w:r>
    </w:p>
    <w:p w14:paraId="0FAF9C23" w14:textId="77777777" w:rsidR="003A1089" w:rsidRDefault="003A1089" w:rsidP="00D85653">
      <w:pPr>
        <w:jc w:val="both"/>
        <w:rPr>
          <w:b/>
        </w:rPr>
      </w:pPr>
    </w:p>
    <w:p w14:paraId="5F05B3C5" w14:textId="77777777" w:rsidR="00C27135" w:rsidRDefault="003A1089" w:rsidP="00EC072C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</w:t>
      </w:r>
      <w:r w:rsidR="00EC072C">
        <w:t>financiranje minimalnog financijskog standarda javnih potreba osnovnog školstva prema utvrđenim kriterijima: po učeniku 360,00 kuna, po razrednom odjelu 2.400,00 kuna, po osnovnoj školi 25.200,00 kuna, po područnoj školi 8.400,00 kuna, po računalu 240,00 kuna godišnje. O</w:t>
      </w:r>
      <w:r w:rsidR="00D32D50">
        <w:t xml:space="preserve">dobrena financijska sredstva </w:t>
      </w:r>
      <w:r w:rsidR="00EC072C">
        <w:t>koriste</w:t>
      </w:r>
      <w:r w:rsidR="00D32D50">
        <w:t xml:space="preserve"> se</w:t>
      </w:r>
      <w:r w:rsidR="00EC072C">
        <w:t xml:space="preserve"> za podmirivanje naknade troškova zaposlenih (službena putovanja, stručno usavršavanje), uredski materijal i ostale materijalne rashode, sitni inventar, usluge telefona i pošte, usluge promidžbe i informiranja, komunalne usluge, premije osiguranja, ostale usluge, intelektualne usluge, računalne usluge, reprezentaciju, članarine, financijske usluge i ostale nespomenute rashode.</w:t>
      </w:r>
    </w:p>
    <w:p w14:paraId="78CE6A39" w14:textId="77777777" w:rsidR="00EE7449" w:rsidRDefault="00EE7449" w:rsidP="00EC072C">
      <w:pPr>
        <w:jc w:val="both"/>
      </w:pPr>
      <w:r>
        <w:tab/>
        <w:t>Brodsko-posavska županija također osigurava sredstva za stvarne rashode energije, hitne intervencije, pedagošku dokumentaciju, prijevoz učenika, zakupnine i najamnine i zdravstvene preglede djelatnika.</w:t>
      </w:r>
    </w:p>
    <w:p w14:paraId="21CE0EDC" w14:textId="77777777" w:rsidR="00C27135" w:rsidRDefault="00C27135" w:rsidP="000C6D8F">
      <w:pPr>
        <w:jc w:val="both"/>
      </w:pPr>
    </w:p>
    <w:p w14:paraId="791CD507" w14:textId="77777777" w:rsidR="00B71DB5" w:rsidRDefault="00B71DB5" w:rsidP="00B71DB5">
      <w:pPr>
        <w:ind w:firstLine="708"/>
        <w:jc w:val="both"/>
      </w:pPr>
    </w:p>
    <w:p w14:paraId="622555D7" w14:textId="77777777" w:rsidR="00B71DB5" w:rsidRDefault="00B71DB5" w:rsidP="00B71DB5">
      <w:pPr>
        <w:ind w:firstLine="708"/>
        <w:jc w:val="both"/>
      </w:pPr>
    </w:p>
    <w:p w14:paraId="4D5B1350" w14:textId="77777777" w:rsidR="00BE3225" w:rsidRDefault="00BE3225" w:rsidP="00D85653">
      <w:pPr>
        <w:jc w:val="both"/>
      </w:pPr>
    </w:p>
    <w:p w14:paraId="3A00C7B8" w14:textId="77777777" w:rsidR="003A1089" w:rsidRDefault="003A1089" w:rsidP="00D85653">
      <w:pPr>
        <w:jc w:val="both"/>
      </w:pPr>
    </w:p>
    <w:p w14:paraId="4AFAA7A6" w14:textId="77777777" w:rsidR="003A1089" w:rsidRDefault="003A1089" w:rsidP="00862C0F">
      <w:pPr>
        <w:rPr>
          <w:b/>
        </w:rPr>
      </w:pPr>
      <w:r w:rsidRPr="00964180">
        <w:rPr>
          <w:b/>
        </w:rPr>
        <w:t xml:space="preserve">               Vlastiti prihodi</w:t>
      </w:r>
    </w:p>
    <w:p w14:paraId="0CFE61ED" w14:textId="77777777" w:rsidR="003A1089" w:rsidRDefault="003A1089" w:rsidP="00862C0F">
      <w:pPr>
        <w:rPr>
          <w:b/>
        </w:rPr>
      </w:pPr>
    </w:p>
    <w:p w14:paraId="15FF73AD" w14:textId="77777777" w:rsidR="003A1089" w:rsidRDefault="003A1089" w:rsidP="00862C0F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</w:t>
      </w:r>
      <w:r w:rsidR="00533EAA">
        <w:t xml:space="preserve">samo </w:t>
      </w:r>
      <w:r>
        <w:t xml:space="preserve">prihodi od </w:t>
      </w:r>
      <w:r w:rsidR="00772EA1">
        <w:t xml:space="preserve">iznajmljivanja </w:t>
      </w:r>
      <w:r w:rsidR="00533EAA">
        <w:t>školskog</w:t>
      </w:r>
      <w:r w:rsidR="00772EA1">
        <w:t xml:space="preserve"> st</w:t>
      </w:r>
      <w:r w:rsidR="00533EAA">
        <w:t>ana jer zbog pandemije iznajmljivanja dvorane nije bilo.</w:t>
      </w:r>
      <w:r w:rsidR="00772EA1">
        <w:t xml:space="preserve"> </w:t>
      </w:r>
      <w:r>
        <w:t xml:space="preserve"> Pri</w:t>
      </w:r>
      <w:r w:rsidR="00772EA1">
        <w:t>hodi će se koristiti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</w:t>
      </w:r>
      <w:r w:rsidR="00D24B83">
        <w:t>kole.</w:t>
      </w:r>
    </w:p>
    <w:p w14:paraId="04057EA1" w14:textId="77777777" w:rsidR="003A1089" w:rsidRDefault="003A1089" w:rsidP="00862C0F">
      <w:pPr>
        <w:jc w:val="both"/>
      </w:pPr>
    </w:p>
    <w:p w14:paraId="61D7A49A" w14:textId="77777777" w:rsidR="000C6D8F" w:rsidRDefault="003A1089" w:rsidP="00862C0F">
      <w:pPr>
        <w:rPr>
          <w:b/>
        </w:rPr>
      </w:pPr>
      <w:r w:rsidRPr="007E0AE1">
        <w:rPr>
          <w:b/>
        </w:rPr>
        <w:t xml:space="preserve">              </w:t>
      </w:r>
    </w:p>
    <w:p w14:paraId="28D2980A" w14:textId="77777777" w:rsidR="003A1089" w:rsidRDefault="00EE7449" w:rsidP="00862C0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Prihodi za posebne namjene</w:t>
      </w:r>
    </w:p>
    <w:p w14:paraId="321F8748" w14:textId="77777777" w:rsidR="003A1089" w:rsidRDefault="003A1089" w:rsidP="00862C0F">
      <w:pPr>
        <w:rPr>
          <w:b/>
        </w:rPr>
      </w:pPr>
    </w:p>
    <w:p w14:paraId="7E95B237" w14:textId="77777777" w:rsidR="000F32C7" w:rsidRPr="00A1754A" w:rsidRDefault="003A1089" w:rsidP="00862C0F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prehranu u školskoj kuhinji i</w:t>
      </w:r>
      <w:r>
        <w:t xml:space="preserve"> za osiguranje učenika</w:t>
      </w:r>
      <w:r w:rsidR="001E4EEF">
        <w:t xml:space="preserve"> 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14:paraId="4FE2D8BF" w14:textId="77777777" w:rsidR="00BE3225" w:rsidRDefault="00BE3225" w:rsidP="00862C0F">
      <w:pPr>
        <w:jc w:val="both"/>
        <w:rPr>
          <w:b/>
        </w:rPr>
      </w:pPr>
    </w:p>
    <w:p w14:paraId="4CA1FF76" w14:textId="77777777" w:rsidR="00EE7449" w:rsidRDefault="00EE7449" w:rsidP="00862C0F">
      <w:pPr>
        <w:rPr>
          <w:b/>
        </w:rPr>
      </w:pPr>
    </w:p>
    <w:p w14:paraId="7DD2372B" w14:textId="77777777" w:rsidR="00EE7449" w:rsidRDefault="00EE7449" w:rsidP="00862C0F">
      <w:pPr>
        <w:ind w:left="708"/>
        <w:rPr>
          <w:b/>
        </w:rPr>
      </w:pPr>
      <w:r>
        <w:rPr>
          <w:b/>
        </w:rPr>
        <w:t xml:space="preserve">      Pomoći</w:t>
      </w:r>
    </w:p>
    <w:p w14:paraId="049B5CA5" w14:textId="77777777" w:rsidR="00EE7449" w:rsidRDefault="00EE7449" w:rsidP="00862C0F">
      <w:pPr>
        <w:ind w:left="708"/>
        <w:rPr>
          <w:b/>
        </w:rPr>
      </w:pPr>
    </w:p>
    <w:p w14:paraId="573DC855" w14:textId="77777777" w:rsidR="000806D4" w:rsidRDefault="00EE7449" w:rsidP="000806D4">
      <w:pPr>
        <w:pStyle w:val="Odlomakpopisa"/>
        <w:numPr>
          <w:ilvl w:val="0"/>
          <w:numId w:val="38"/>
        </w:numPr>
        <w:jc w:val="both"/>
      </w:pPr>
      <w:r w:rsidRPr="00EE7449">
        <w:t xml:space="preserve">Pomoći iz državnog proračuna </w:t>
      </w:r>
      <w:r>
        <w:t xml:space="preserve"> - za financiranje plaća i ostalih materijalnih prava zaposlenika,</w:t>
      </w:r>
      <w:r w:rsidR="00952296">
        <w:t xml:space="preserve"> za mentorstvo te</w:t>
      </w:r>
      <w:r>
        <w:t xml:space="preserve"> organizaciju i održavanje Susreta mali</w:t>
      </w:r>
      <w:r w:rsidR="000806D4">
        <w:t>h pjesnika Slavonije i Baranje, f</w:t>
      </w:r>
      <w:r w:rsidR="000E4779">
        <w:t>inanciranje udžben</w:t>
      </w:r>
      <w:r w:rsidR="0061384F">
        <w:t>ika,</w:t>
      </w:r>
      <w:r w:rsidR="000806D4">
        <w:t xml:space="preserve"> </w:t>
      </w:r>
      <w:r w:rsidR="005B3019">
        <w:t>lektire</w:t>
      </w:r>
      <w:r w:rsidR="000806D4">
        <w:t xml:space="preserve"> i stručne literature</w:t>
      </w:r>
      <w:r w:rsidR="005B3019">
        <w:t>.</w:t>
      </w:r>
    </w:p>
    <w:p w14:paraId="783B4D07" w14:textId="77777777" w:rsidR="000568E1" w:rsidRDefault="00743726" w:rsidP="00862C0F">
      <w:pPr>
        <w:pStyle w:val="Odlomakpopisa"/>
        <w:numPr>
          <w:ilvl w:val="0"/>
          <w:numId w:val="38"/>
        </w:numPr>
        <w:jc w:val="both"/>
      </w:pPr>
      <w:r>
        <w:t xml:space="preserve">Pomoći temeljem prijenosa EU sredstava </w:t>
      </w:r>
      <w:r w:rsidR="000806D4">
        <w:t>–</w:t>
      </w:r>
      <w:r>
        <w:t xml:space="preserve"> </w:t>
      </w:r>
      <w:r w:rsidR="000806D4">
        <w:t>završena su</w:t>
      </w:r>
      <w:r w:rsidR="000568E1">
        <w:t xml:space="preserve"> tri projekta </w:t>
      </w:r>
      <w:r w:rsidR="000806D4">
        <w:t xml:space="preserve">koja su trajala </w:t>
      </w:r>
      <w:r w:rsidR="000568E1">
        <w:t>u vremenskom razdoblju od 2018. do 2020. godine</w:t>
      </w:r>
      <w:r w:rsidR="00256CD5">
        <w:t xml:space="preserve"> s produljenim rokom provedbe do 2021. godine</w:t>
      </w:r>
      <w:r w:rsidR="000568E1">
        <w:t xml:space="preserve"> :</w:t>
      </w:r>
      <w:r w:rsidR="000568E1" w:rsidRPr="000568E1">
        <w:t>Smart Education: Explore CLI</w:t>
      </w:r>
      <w:r w:rsidR="000568E1">
        <w:t xml:space="preserve">L by Using Robotics , </w:t>
      </w:r>
      <w:r w:rsidR="000568E1" w:rsidRPr="000568E1">
        <w:t>Food for Thought - A Cultural Recipe of European Tra</w:t>
      </w:r>
      <w:r w:rsidR="000568E1">
        <w:t xml:space="preserve">ditions and Customs, </w:t>
      </w:r>
      <w:r w:rsidR="000568E1" w:rsidRPr="000568E1">
        <w:t>Bridges</w:t>
      </w:r>
      <w:r w:rsidR="000806D4">
        <w:t xml:space="preserve"> Over Opened Minds. Sredstva zaprimljena po konačnom obračunu utrošit će se u skladu s navedenim projektima.</w:t>
      </w:r>
    </w:p>
    <w:p w14:paraId="1606F1D1" w14:textId="77777777" w:rsidR="00AD2557" w:rsidRDefault="00AD2557" w:rsidP="00862C0F">
      <w:pPr>
        <w:pStyle w:val="Odlomakpopisa"/>
        <w:numPr>
          <w:ilvl w:val="0"/>
          <w:numId w:val="38"/>
        </w:numPr>
        <w:jc w:val="both"/>
      </w:pPr>
      <w:r>
        <w:t>Tekući prijenosi između proračunskih korisnika – Osiguranje školske prehrane za djecu u riziku od siromaštva</w:t>
      </w:r>
      <w:r w:rsidR="000806D4">
        <w:t>, Pomoćnici u nastavi</w:t>
      </w:r>
    </w:p>
    <w:p w14:paraId="2377A489" w14:textId="77777777" w:rsidR="00743726" w:rsidRPr="000568E1" w:rsidRDefault="00AD2557" w:rsidP="00862C0F">
      <w:pPr>
        <w:pStyle w:val="Odlomakpopisa"/>
        <w:numPr>
          <w:ilvl w:val="0"/>
          <w:numId w:val="38"/>
        </w:numPr>
      </w:pPr>
      <w:r>
        <w:t>Pomoći BPŽ – Školska she</w:t>
      </w:r>
      <w:r w:rsidR="00256CD5">
        <w:t>ma – voće i povrće te</w:t>
      </w:r>
      <w:r>
        <w:t xml:space="preserve"> mlijeko za </w:t>
      </w:r>
      <w:r w:rsidR="00256CD5">
        <w:t xml:space="preserve">sve </w:t>
      </w:r>
      <w:r>
        <w:t xml:space="preserve">učenike </w:t>
      </w:r>
      <w:r w:rsidR="00256CD5">
        <w:t>škole.</w:t>
      </w:r>
      <w:r w:rsidR="00490AD5">
        <w:t xml:space="preserve"> Školski m</w:t>
      </w:r>
      <w:r w:rsidR="003D5866">
        <w:t>edni dan za učenike prvih razreda.</w:t>
      </w:r>
      <w:r w:rsidR="000568E1">
        <w:br/>
      </w:r>
    </w:p>
    <w:p w14:paraId="3FEFEBCB" w14:textId="77777777" w:rsidR="001E46B8" w:rsidRPr="00952296" w:rsidRDefault="001E46B8" w:rsidP="00862C0F"/>
    <w:p w14:paraId="7235A448" w14:textId="77777777" w:rsidR="001E46B8" w:rsidRDefault="001E46B8" w:rsidP="00862C0F">
      <w:pPr>
        <w:rPr>
          <w:b/>
        </w:rPr>
      </w:pPr>
    </w:p>
    <w:p w14:paraId="0EEC60AF" w14:textId="77777777" w:rsidR="00D30180" w:rsidRDefault="00D30180" w:rsidP="00862C0F">
      <w:pPr>
        <w:ind w:firstLine="708"/>
        <w:jc w:val="both"/>
        <w:rPr>
          <w:b/>
        </w:rPr>
      </w:pPr>
      <w:r w:rsidRPr="00D30180">
        <w:rPr>
          <w:b/>
        </w:rPr>
        <w:t xml:space="preserve">6. </w:t>
      </w:r>
      <w:r w:rsidR="005C2C87">
        <w:rPr>
          <w:b/>
        </w:rPr>
        <w:t xml:space="preserve">  </w:t>
      </w:r>
      <w:r w:rsidRPr="00D30180">
        <w:rPr>
          <w:b/>
        </w:rPr>
        <w:t xml:space="preserve">Izvještaj o postignutim ciljevima i rezultatima programa temeljenim na </w:t>
      </w:r>
      <w:r w:rsidR="00862C0F">
        <w:rPr>
          <w:b/>
        </w:rPr>
        <w:t xml:space="preserve">     </w:t>
      </w:r>
      <w:r w:rsidRPr="00D30180">
        <w:rPr>
          <w:b/>
        </w:rPr>
        <w:t>pokazateljima uspješnosti iz nadležnosti proračunskog korisnika u prethodnoj godini</w:t>
      </w:r>
    </w:p>
    <w:p w14:paraId="1D45DD3D" w14:textId="77777777" w:rsidR="00D30180" w:rsidRDefault="00D30180" w:rsidP="00862C0F">
      <w:pPr>
        <w:jc w:val="both"/>
        <w:rPr>
          <w:b/>
        </w:rPr>
      </w:pPr>
    </w:p>
    <w:p w14:paraId="1C452176" w14:textId="77777777" w:rsidR="007F1B32" w:rsidRDefault="007F1B32" w:rsidP="00D85653">
      <w:pPr>
        <w:jc w:val="both"/>
        <w:rPr>
          <w:b/>
        </w:rPr>
      </w:pPr>
    </w:p>
    <w:p w14:paraId="23217D77" w14:textId="3D76D9AB" w:rsidR="00E26323" w:rsidRDefault="000806D4" w:rsidP="002B7AEF">
      <w:pPr>
        <w:jc w:val="both"/>
      </w:pPr>
      <w:r>
        <w:t>Školska godina 2021./2022. započela je 6. rujna 202</w:t>
      </w:r>
      <w:r w:rsidR="00F618A0">
        <w:t>1</w:t>
      </w:r>
      <w:r>
        <w:t>., a završila 21</w:t>
      </w:r>
      <w:r w:rsidR="0078575B">
        <w:t>. lipnja 202</w:t>
      </w:r>
      <w:r w:rsidR="00F618A0">
        <w:t>2</w:t>
      </w:r>
      <w:r w:rsidR="0078575B">
        <w:t>. godine.</w:t>
      </w:r>
    </w:p>
    <w:p w14:paraId="56D710A7" w14:textId="77777777" w:rsidR="002718A1" w:rsidRDefault="002718A1" w:rsidP="002B7AEF">
      <w:pPr>
        <w:jc w:val="both"/>
      </w:pPr>
    </w:p>
    <w:p w14:paraId="13A6A904" w14:textId="77777777" w:rsidR="002718A1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 xml:space="preserve">Nastava se odvijala u jednoj smjeni, za čega je osiguran dovoljan broj učionica. Učenici predmetne nastave i ove godine su povremeno imali nastavu na daljinu, dok su učenici RN cijelu školsku godinu pratili nastavu u školi. Izuzetak su bili pojedinci i razredni odjeli kojima je propisana samoizolacija. Zbog pandemije uzrokovane covidom-19 nastava se dio nastavne godine odvijala po posebnim propisima, za čega je naša škola imala sve uvjete, od dovoljnog broja zadovoljavajućih učionica i klupa za pojedinačno sjedenje učenika, do potrebne opreme za rad na daljinu. </w:t>
      </w:r>
    </w:p>
    <w:p w14:paraId="7BAEC9D4" w14:textId="77777777" w:rsidR="002B7AEF" w:rsidRPr="002B7AEF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>Sva postojeća oprema te nastavna sredstva i pomagala redovito se održavaju i u funkciji su.</w:t>
      </w:r>
    </w:p>
    <w:p w14:paraId="7B81BFE0" w14:textId="77777777" w:rsidR="0078575B" w:rsidRDefault="0078575B" w:rsidP="00D85653">
      <w:pPr>
        <w:jc w:val="both"/>
      </w:pPr>
    </w:p>
    <w:p w14:paraId="3BAAE9F0" w14:textId="77777777" w:rsidR="00371033" w:rsidRDefault="00371033" w:rsidP="00D85653">
      <w:pPr>
        <w:ind w:firstLine="708"/>
        <w:jc w:val="both"/>
      </w:pPr>
    </w:p>
    <w:p w14:paraId="26DD75E1" w14:textId="77777777" w:rsidR="008A0912" w:rsidRDefault="00160B38" w:rsidP="00D85653">
      <w:pPr>
        <w:jc w:val="both"/>
      </w:pPr>
      <w:r>
        <w:lastRenderedPageBreak/>
        <w:t>230</w:t>
      </w:r>
      <w:r w:rsidR="00371033">
        <w:t xml:space="preserve"> </w:t>
      </w:r>
      <w:r w:rsidR="009D052E">
        <w:t>učenik</w:t>
      </w:r>
      <w:r w:rsidR="007023D4">
        <w:t>a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 w:rsidR="00B71DB5">
        <w:t>.</w:t>
      </w:r>
    </w:p>
    <w:p w14:paraId="18FFFC7A" w14:textId="77777777" w:rsidR="004943CA" w:rsidRDefault="004943CA" w:rsidP="00D85653">
      <w:pPr>
        <w:jc w:val="both"/>
      </w:pPr>
    </w:p>
    <w:p w14:paraId="2F858F97" w14:textId="77777777" w:rsidR="004943CA" w:rsidRDefault="004943CA" w:rsidP="00D85653">
      <w:pPr>
        <w:jc w:val="both"/>
      </w:pPr>
      <w:r>
        <w:t>Na županijskoj r</w:t>
      </w:r>
      <w:r w:rsidR="00D32D50">
        <w:t>azini natjecanja</w:t>
      </w:r>
      <w:r w:rsidR="00160B38">
        <w:t xml:space="preserve"> sudjelovali su učenici iz</w:t>
      </w:r>
      <w:r w:rsidR="000806D4">
        <w:t xml:space="preserve"> sljedećih nastavnih predmeta: Informatik</w:t>
      </w:r>
      <w:r w:rsidR="00126BAE">
        <w:t>e</w:t>
      </w:r>
      <w:r w:rsidR="000806D4">
        <w:t>, Vjeronauk</w:t>
      </w:r>
      <w:r w:rsidR="00126BAE">
        <w:t>a</w:t>
      </w:r>
      <w:r w:rsidR="000806D4">
        <w:t>, Geografij</w:t>
      </w:r>
      <w:r w:rsidR="00126BAE">
        <w:t>e</w:t>
      </w:r>
      <w:r w:rsidR="000806D4">
        <w:t>, Fizik</w:t>
      </w:r>
      <w:r w:rsidR="00126BAE">
        <w:t>e</w:t>
      </w:r>
      <w:r w:rsidR="000806D4">
        <w:t>, L</w:t>
      </w:r>
      <w:r w:rsidR="00160B38">
        <w:t>idran</w:t>
      </w:r>
      <w:r w:rsidR="00126BAE">
        <w:t>a</w:t>
      </w:r>
      <w:r w:rsidR="00160B38">
        <w:t xml:space="preserve"> te iz pet sportskih disciplina.</w:t>
      </w:r>
    </w:p>
    <w:p w14:paraId="31E26155" w14:textId="77777777" w:rsidR="00160B38" w:rsidRDefault="00160B38" w:rsidP="00D85653">
      <w:pPr>
        <w:jc w:val="both"/>
      </w:pPr>
    </w:p>
    <w:p w14:paraId="54BCCCAC" w14:textId="77777777" w:rsidR="00160B38" w:rsidRDefault="00160B38" w:rsidP="00D85653">
      <w:pPr>
        <w:jc w:val="both"/>
      </w:pPr>
      <w:r>
        <w:t>Na državnoj razini sudjelovali su učenici na natjecanju iz rukometa , atletike i Lidrana.</w:t>
      </w:r>
    </w:p>
    <w:p w14:paraId="6A04D7AC" w14:textId="77777777" w:rsidR="00160B38" w:rsidRDefault="00160B38" w:rsidP="00D85653">
      <w:pPr>
        <w:jc w:val="both"/>
      </w:pPr>
    </w:p>
    <w:p w14:paraId="56D2BE9F" w14:textId="77777777" w:rsidR="00160B38" w:rsidRDefault="00160B38" w:rsidP="00D85653">
      <w:pPr>
        <w:jc w:val="both"/>
      </w:pPr>
      <w:r>
        <w:t xml:space="preserve">Provedeno je i međunarodno natjecanje iz Informatike </w:t>
      </w:r>
      <w:r w:rsidR="00126BAE">
        <w:t>„</w:t>
      </w:r>
      <w:r>
        <w:t>Dabar</w:t>
      </w:r>
      <w:r w:rsidR="00126BAE">
        <w:t>“</w:t>
      </w:r>
      <w:r>
        <w:t>.</w:t>
      </w:r>
    </w:p>
    <w:p w14:paraId="6DE7AB22" w14:textId="77777777" w:rsidR="00547F67" w:rsidRDefault="00547F67" w:rsidP="00160B38">
      <w:pPr>
        <w:jc w:val="both"/>
      </w:pPr>
    </w:p>
    <w:p w14:paraId="6B9D1B3B" w14:textId="77777777" w:rsidR="002B7AEF" w:rsidRPr="002B7AEF" w:rsidRDefault="002B7AEF" w:rsidP="002B7AEF">
      <w:pPr>
        <w:pStyle w:val="Tijeloteksta"/>
        <w:jc w:val="both"/>
        <w:rPr>
          <w:b w:val="0"/>
          <w:sz w:val="24"/>
          <w:szCs w:val="24"/>
          <w:lang w:val="pt-BR"/>
        </w:rPr>
      </w:pPr>
      <w:r w:rsidRPr="002B7AEF">
        <w:rPr>
          <w:b w:val="0"/>
          <w:sz w:val="24"/>
          <w:szCs w:val="24"/>
          <w:lang w:val="pt-BR"/>
        </w:rPr>
        <w:t>Susreti malih pjesnika Slavonije i Baranje, kao tradicionalni blagdan štokavske riječi, u petak 26. studenoga obilježili su 28. obljetnicu svoga postojanja. Prilagođavanje promjenama u današnje je vrijeme vrlo izazovno i neizbježno, pa se i ovogodišnji Susret malih pjesnika održao na specifičan način i pod drugim okolnostima. Umjesto naše središnje priredbe, koja okuplja sve sudionike natječaja, kao i naše vjerne prijatelje koje smo stekli kroz Susrete, ove godine sastali smo se u izmijenjenom sastavu. Na okruglom stolu imali smo priliku čuti 5 nagrađenih pjesama koje je naše školsko povjerenstvo predložilo za nagradu, kao i pjesme učenika iz naših obližnjih škola čiji su radovi uvršteni među 40 najboljih.</w:t>
      </w:r>
    </w:p>
    <w:p w14:paraId="052A8539" w14:textId="77777777" w:rsidR="002B7AEF" w:rsidRDefault="00160B38" w:rsidP="002B7AEF">
      <w:pPr>
        <w:jc w:val="both"/>
      </w:pPr>
      <w:r w:rsidRPr="002B7AEF">
        <w:t xml:space="preserve"> </w:t>
      </w:r>
    </w:p>
    <w:p w14:paraId="4B4586A4" w14:textId="77777777" w:rsidR="002B7AEF" w:rsidRPr="002B7AEF" w:rsidRDefault="002B7AEF" w:rsidP="002718A1">
      <w:pPr>
        <w:jc w:val="both"/>
      </w:pPr>
      <w:r w:rsidRPr="002B7AEF">
        <w:t>Individualno stručno usavršavanje (praćenje stručne, didaktičke i metodičke kao i pedagoške</w:t>
      </w:r>
    </w:p>
    <w:p w14:paraId="454B1E7D" w14:textId="77777777" w:rsidR="002B7AEF" w:rsidRPr="002B7AEF" w:rsidRDefault="002B7AEF" w:rsidP="002718A1">
      <w:pPr>
        <w:jc w:val="both"/>
      </w:pPr>
      <w:r w:rsidRPr="002B7AEF">
        <w:t>literature) svaki učitelj je ostvario tijekom nastavne godine u iznosu od minimalno 40 sati</w:t>
      </w:r>
      <w:r w:rsidR="002718A1">
        <w:t xml:space="preserve"> </w:t>
      </w:r>
      <w:r w:rsidRPr="002B7AEF">
        <w:t>godišnje.</w:t>
      </w:r>
    </w:p>
    <w:p w14:paraId="6DDD843D" w14:textId="77777777" w:rsidR="002B7AEF" w:rsidRPr="002B7AEF" w:rsidRDefault="002B7AEF" w:rsidP="002718A1">
      <w:pPr>
        <w:jc w:val="both"/>
      </w:pPr>
      <w:r w:rsidRPr="002B7AEF">
        <w:t>Svi su učitelji bili sudionici stručnog usavršavanja u školi (pedagoške teme) te su sudjelovali</w:t>
      </w:r>
    </w:p>
    <w:p w14:paraId="66270867" w14:textId="77777777" w:rsidR="002B7AEF" w:rsidRPr="00867C11" w:rsidRDefault="002B7AEF" w:rsidP="002718A1">
      <w:pPr>
        <w:jc w:val="both"/>
        <w:rPr>
          <w:rFonts w:ascii="Calibri" w:hAnsi="Calibri" w:cs="Calibri"/>
        </w:rPr>
      </w:pPr>
      <w:r w:rsidRPr="002B7AEF">
        <w:t>na online stručnim skupovima organiziranim izvan škole, od strane AZOO-a, MZO</w:t>
      </w:r>
      <w:r w:rsidR="00126BAE">
        <w:t xml:space="preserve">-a te na </w:t>
      </w:r>
      <w:r w:rsidRPr="002B7AEF">
        <w:t xml:space="preserve"> županijsk</w:t>
      </w:r>
      <w:r w:rsidR="00126BAE">
        <w:t>im</w:t>
      </w:r>
      <w:r w:rsidRPr="002B7AEF">
        <w:t xml:space="preserve"> stručn</w:t>
      </w:r>
      <w:r w:rsidR="00126BAE">
        <w:t>im</w:t>
      </w:r>
      <w:r w:rsidRPr="002B7AEF">
        <w:t xml:space="preserve"> vijeć</w:t>
      </w:r>
      <w:r w:rsidR="00126BAE">
        <w:t>ima</w:t>
      </w:r>
      <w:r w:rsidRPr="00867C11">
        <w:rPr>
          <w:rFonts w:ascii="Calibri" w:hAnsi="Calibri" w:cs="Calibri"/>
        </w:rPr>
        <w:t>.</w:t>
      </w:r>
    </w:p>
    <w:p w14:paraId="027A3528" w14:textId="77777777" w:rsidR="00AC5438" w:rsidRDefault="00AC5438" w:rsidP="00D85653">
      <w:pPr>
        <w:jc w:val="both"/>
      </w:pPr>
    </w:p>
    <w:p w14:paraId="2555FBED" w14:textId="77777777" w:rsidR="003A2FD9" w:rsidRDefault="003A2FD9" w:rsidP="000A2B83">
      <w:pPr>
        <w:jc w:val="both"/>
        <w:outlineLvl w:val="0"/>
      </w:pPr>
      <w:r>
        <w:t>Cernik</w:t>
      </w:r>
      <w:r w:rsidR="00126BAE">
        <w:t>,</w:t>
      </w:r>
      <w:r>
        <w:t xml:space="preserve"> </w:t>
      </w:r>
      <w:r w:rsidR="002718A1">
        <w:t>14.</w:t>
      </w:r>
      <w:r w:rsidR="00126BAE">
        <w:t xml:space="preserve"> listopada </w:t>
      </w:r>
      <w:r w:rsidR="000078EC">
        <w:t xml:space="preserve"> </w:t>
      </w:r>
      <w:r w:rsidR="002718A1">
        <w:t>2022.</w:t>
      </w:r>
    </w:p>
    <w:p w14:paraId="6EAE7602" w14:textId="77777777" w:rsidR="0002588B" w:rsidRDefault="00A1754A" w:rsidP="000A2B83">
      <w:pPr>
        <w:jc w:val="both"/>
        <w:outlineLvl w:val="0"/>
      </w:pPr>
      <w:r>
        <w:t>.</w:t>
      </w:r>
    </w:p>
    <w:p w14:paraId="35F22370" w14:textId="77777777" w:rsidR="000A2B83" w:rsidRDefault="000A2B83" w:rsidP="00D85653">
      <w:pPr>
        <w:ind w:left="6372"/>
        <w:jc w:val="both"/>
        <w:outlineLvl w:val="0"/>
      </w:pPr>
    </w:p>
    <w:p w14:paraId="25464B24" w14:textId="77777777"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14:paraId="14BD7A8C" w14:textId="77777777" w:rsidR="00126BAE" w:rsidRDefault="00126BAE" w:rsidP="000A2B83">
      <w:pPr>
        <w:ind w:left="6372"/>
        <w:outlineLvl w:val="0"/>
      </w:pPr>
    </w:p>
    <w:p w14:paraId="441317DD" w14:textId="77777777" w:rsidR="000041E3" w:rsidRDefault="000A2B83" w:rsidP="000A2B83">
      <w:pPr>
        <w:ind w:left="6372"/>
        <w:outlineLvl w:val="0"/>
      </w:pPr>
      <w:r>
        <w:t>Reza Benković</w:t>
      </w:r>
    </w:p>
    <w:p w14:paraId="2B874C4F" w14:textId="77777777" w:rsidR="000041E3" w:rsidRDefault="000A2B83" w:rsidP="00395B17">
      <w:pPr>
        <w:ind w:left="6372"/>
        <w:jc w:val="both"/>
        <w:outlineLvl w:val="0"/>
      </w:pPr>
      <w:r>
        <w:t xml:space="preserve">  </w:t>
      </w:r>
    </w:p>
    <w:p w14:paraId="00873012" w14:textId="77777777"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AB83" w14:textId="77777777" w:rsidR="00533C48" w:rsidRDefault="00533C48">
      <w:r>
        <w:separator/>
      </w:r>
    </w:p>
  </w:endnote>
  <w:endnote w:type="continuationSeparator" w:id="0">
    <w:p w14:paraId="560FFB4B" w14:textId="77777777" w:rsidR="00533C48" w:rsidRDefault="0053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473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7FBFB5" w14:textId="77777777"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36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5468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3BBD4F75" w14:textId="77777777"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98B5" w14:textId="77777777" w:rsidR="00533C48" w:rsidRDefault="00533C48">
      <w:r>
        <w:separator/>
      </w:r>
    </w:p>
  </w:footnote>
  <w:footnote w:type="continuationSeparator" w:id="0">
    <w:p w14:paraId="627AAC69" w14:textId="77777777" w:rsidR="00533C48" w:rsidRDefault="0053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742"/>
    <w:multiLevelType w:val="hybridMultilevel"/>
    <w:tmpl w:val="24EA96A8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FE"/>
    <w:multiLevelType w:val="hybridMultilevel"/>
    <w:tmpl w:val="FAF8BBB2"/>
    <w:lvl w:ilvl="0" w:tplc="91DAF226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956BA4"/>
    <w:multiLevelType w:val="hybridMultilevel"/>
    <w:tmpl w:val="A12CBA5A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D3D"/>
    <w:multiLevelType w:val="hybridMultilevel"/>
    <w:tmpl w:val="114E3C3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554E"/>
    <w:multiLevelType w:val="hybridMultilevel"/>
    <w:tmpl w:val="7890AF0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28"/>
  </w:num>
  <w:num w:numId="5">
    <w:abstractNumId w:val="19"/>
  </w:num>
  <w:num w:numId="6">
    <w:abstractNumId w:val="16"/>
  </w:num>
  <w:num w:numId="7">
    <w:abstractNumId w:val="34"/>
  </w:num>
  <w:num w:numId="8">
    <w:abstractNumId w:val="22"/>
  </w:num>
  <w:num w:numId="9">
    <w:abstractNumId w:val="23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37"/>
  </w:num>
  <w:num w:numId="16">
    <w:abstractNumId w:val="0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30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6"/>
  </w:num>
  <w:num w:numId="27">
    <w:abstractNumId w:val="9"/>
  </w:num>
  <w:num w:numId="28">
    <w:abstractNumId w:val="32"/>
  </w:num>
  <w:num w:numId="29">
    <w:abstractNumId w:val="24"/>
  </w:num>
  <w:num w:numId="30">
    <w:abstractNumId w:val="15"/>
  </w:num>
  <w:num w:numId="31">
    <w:abstractNumId w:val="26"/>
  </w:num>
  <w:num w:numId="32">
    <w:abstractNumId w:val="1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58"/>
    <w:rsid w:val="000041E3"/>
    <w:rsid w:val="000078EC"/>
    <w:rsid w:val="0002588B"/>
    <w:rsid w:val="00033852"/>
    <w:rsid w:val="00051AC7"/>
    <w:rsid w:val="000568E1"/>
    <w:rsid w:val="00057F96"/>
    <w:rsid w:val="000638B9"/>
    <w:rsid w:val="0006435D"/>
    <w:rsid w:val="00064602"/>
    <w:rsid w:val="000659C5"/>
    <w:rsid w:val="0007188F"/>
    <w:rsid w:val="000806D4"/>
    <w:rsid w:val="000A2029"/>
    <w:rsid w:val="000A2B83"/>
    <w:rsid w:val="000A4995"/>
    <w:rsid w:val="000B0713"/>
    <w:rsid w:val="000B0852"/>
    <w:rsid w:val="000B08ED"/>
    <w:rsid w:val="000C5AF3"/>
    <w:rsid w:val="000C6D8F"/>
    <w:rsid w:val="000D56F9"/>
    <w:rsid w:val="000D705E"/>
    <w:rsid w:val="000E4779"/>
    <w:rsid w:val="000F145F"/>
    <w:rsid w:val="000F32C7"/>
    <w:rsid w:val="000F64CC"/>
    <w:rsid w:val="001051D7"/>
    <w:rsid w:val="0011323B"/>
    <w:rsid w:val="00123254"/>
    <w:rsid w:val="00126BAE"/>
    <w:rsid w:val="001275A5"/>
    <w:rsid w:val="0013632E"/>
    <w:rsid w:val="001457A2"/>
    <w:rsid w:val="00146888"/>
    <w:rsid w:val="00160B38"/>
    <w:rsid w:val="001679B5"/>
    <w:rsid w:val="00194291"/>
    <w:rsid w:val="001B2EAD"/>
    <w:rsid w:val="001D44B6"/>
    <w:rsid w:val="001E0E2E"/>
    <w:rsid w:val="001E32F5"/>
    <w:rsid w:val="001E46B8"/>
    <w:rsid w:val="001E4EEF"/>
    <w:rsid w:val="001E5E9D"/>
    <w:rsid w:val="0023097D"/>
    <w:rsid w:val="00235B74"/>
    <w:rsid w:val="00241F22"/>
    <w:rsid w:val="00245022"/>
    <w:rsid w:val="00256CD5"/>
    <w:rsid w:val="002718A1"/>
    <w:rsid w:val="00286D6B"/>
    <w:rsid w:val="0029141B"/>
    <w:rsid w:val="002A04E5"/>
    <w:rsid w:val="002A054F"/>
    <w:rsid w:val="002B503F"/>
    <w:rsid w:val="002B7AEF"/>
    <w:rsid w:val="00304AC1"/>
    <w:rsid w:val="00306839"/>
    <w:rsid w:val="003079CB"/>
    <w:rsid w:val="003228DE"/>
    <w:rsid w:val="00341796"/>
    <w:rsid w:val="0036264E"/>
    <w:rsid w:val="00371033"/>
    <w:rsid w:val="003813D1"/>
    <w:rsid w:val="00382349"/>
    <w:rsid w:val="00383898"/>
    <w:rsid w:val="00395B17"/>
    <w:rsid w:val="003A1089"/>
    <w:rsid w:val="003A2FD9"/>
    <w:rsid w:val="003A5468"/>
    <w:rsid w:val="003D26B2"/>
    <w:rsid w:val="003D5866"/>
    <w:rsid w:val="00404BC4"/>
    <w:rsid w:val="00407475"/>
    <w:rsid w:val="0043028D"/>
    <w:rsid w:val="004333EF"/>
    <w:rsid w:val="00434619"/>
    <w:rsid w:val="004363B2"/>
    <w:rsid w:val="00455905"/>
    <w:rsid w:val="00456CF1"/>
    <w:rsid w:val="004578D4"/>
    <w:rsid w:val="00465362"/>
    <w:rsid w:val="00472E13"/>
    <w:rsid w:val="00490AD5"/>
    <w:rsid w:val="004943CA"/>
    <w:rsid w:val="004976A4"/>
    <w:rsid w:val="004A12D7"/>
    <w:rsid w:val="004A624C"/>
    <w:rsid w:val="004B363B"/>
    <w:rsid w:val="004C0DC9"/>
    <w:rsid w:val="004C76E0"/>
    <w:rsid w:val="004D4958"/>
    <w:rsid w:val="004D4E82"/>
    <w:rsid w:val="00512F9C"/>
    <w:rsid w:val="0051369B"/>
    <w:rsid w:val="00533C48"/>
    <w:rsid w:val="00533EAA"/>
    <w:rsid w:val="00547F67"/>
    <w:rsid w:val="0055674C"/>
    <w:rsid w:val="0056642A"/>
    <w:rsid w:val="00581C2B"/>
    <w:rsid w:val="005850B9"/>
    <w:rsid w:val="005906B7"/>
    <w:rsid w:val="005A05E2"/>
    <w:rsid w:val="005A763A"/>
    <w:rsid w:val="005B3019"/>
    <w:rsid w:val="005C2C87"/>
    <w:rsid w:val="005D1E2B"/>
    <w:rsid w:val="005D4BC5"/>
    <w:rsid w:val="005F7187"/>
    <w:rsid w:val="00602EBE"/>
    <w:rsid w:val="0061325A"/>
    <w:rsid w:val="0061384F"/>
    <w:rsid w:val="0061552B"/>
    <w:rsid w:val="0061745D"/>
    <w:rsid w:val="00633EEB"/>
    <w:rsid w:val="00643F5B"/>
    <w:rsid w:val="00683289"/>
    <w:rsid w:val="006B7AA9"/>
    <w:rsid w:val="006C783C"/>
    <w:rsid w:val="006D561F"/>
    <w:rsid w:val="006E07C9"/>
    <w:rsid w:val="006E6359"/>
    <w:rsid w:val="006E76ED"/>
    <w:rsid w:val="006F40CF"/>
    <w:rsid w:val="007023D4"/>
    <w:rsid w:val="00704351"/>
    <w:rsid w:val="00722D86"/>
    <w:rsid w:val="00731214"/>
    <w:rsid w:val="00737812"/>
    <w:rsid w:val="00743726"/>
    <w:rsid w:val="007557A6"/>
    <w:rsid w:val="00760DC0"/>
    <w:rsid w:val="00772EA1"/>
    <w:rsid w:val="0078216C"/>
    <w:rsid w:val="0078575B"/>
    <w:rsid w:val="00787871"/>
    <w:rsid w:val="00792B07"/>
    <w:rsid w:val="00797958"/>
    <w:rsid w:val="007B3028"/>
    <w:rsid w:val="007C5498"/>
    <w:rsid w:val="007D3AF2"/>
    <w:rsid w:val="007E7C9D"/>
    <w:rsid w:val="007F1B32"/>
    <w:rsid w:val="008123C1"/>
    <w:rsid w:val="00814595"/>
    <w:rsid w:val="00836BF9"/>
    <w:rsid w:val="0084228E"/>
    <w:rsid w:val="0084422C"/>
    <w:rsid w:val="00862C0F"/>
    <w:rsid w:val="00862FE2"/>
    <w:rsid w:val="00874B7A"/>
    <w:rsid w:val="008801A7"/>
    <w:rsid w:val="008A0912"/>
    <w:rsid w:val="008B0824"/>
    <w:rsid w:val="008B1815"/>
    <w:rsid w:val="008E78A4"/>
    <w:rsid w:val="009128AE"/>
    <w:rsid w:val="009232B2"/>
    <w:rsid w:val="009261FF"/>
    <w:rsid w:val="009453F6"/>
    <w:rsid w:val="00952296"/>
    <w:rsid w:val="009571ED"/>
    <w:rsid w:val="00965BD4"/>
    <w:rsid w:val="00967ED4"/>
    <w:rsid w:val="0097114D"/>
    <w:rsid w:val="00987364"/>
    <w:rsid w:val="00993583"/>
    <w:rsid w:val="009A5A12"/>
    <w:rsid w:val="009B34D9"/>
    <w:rsid w:val="009B3A13"/>
    <w:rsid w:val="009D052E"/>
    <w:rsid w:val="009D7278"/>
    <w:rsid w:val="009F79F2"/>
    <w:rsid w:val="00A103E6"/>
    <w:rsid w:val="00A136E1"/>
    <w:rsid w:val="00A1754A"/>
    <w:rsid w:val="00A3054B"/>
    <w:rsid w:val="00A61B5E"/>
    <w:rsid w:val="00A71FC3"/>
    <w:rsid w:val="00A83062"/>
    <w:rsid w:val="00A91722"/>
    <w:rsid w:val="00AA1091"/>
    <w:rsid w:val="00AB5B10"/>
    <w:rsid w:val="00AC5438"/>
    <w:rsid w:val="00AC587F"/>
    <w:rsid w:val="00AD2557"/>
    <w:rsid w:val="00AD2CAA"/>
    <w:rsid w:val="00AD396D"/>
    <w:rsid w:val="00AD6FC6"/>
    <w:rsid w:val="00B03A37"/>
    <w:rsid w:val="00B34091"/>
    <w:rsid w:val="00B46C09"/>
    <w:rsid w:val="00B5084E"/>
    <w:rsid w:val="00B71DB5"/>
    <w:rsid w:val="00B77DB1"/>
    <w:rsid w:val="00B820CC"/>
    <w:rsid w:val="00B85189"/>
    <w:rsid w:val="00B876B1"/>
    <w:rsid w:val="00B87AEE"/>
    <w:rsid w:val="00B93895"/>
    <w:rsid w:val="00BE21E7"/>
    <w:rsid w:val="00BE3225"/>
    <w:rsid w:val="00BE6112"/>
    <w:rsid w:val="00C132A6"/>
    <w:rsid w:val="00C16A21"/>
    <w:rsid w:val="00C2698D"/>
    <w:rsid w:val="00C27135"/>
    <w:rsid w:val="00C46AFE"/>
    <w:rsid w:val="00C50B39"/>
    <w:rsid w:val="00C67877"/>
    <w:rsid w:val="00C92620"/>
    <w:rsid w:val="00CE591D"/>
    <w:rsid w:val="00CE59B4"/>
    <w:rsid w:val="00CF1716"/>
    <w:rsid w:val="00D142BF"/>
    <w:rsid w:val="00D24B83"/>
    <w:rsid w:val="00D30180"/>
    <w:rsid w:val="00D32D50"/>
    <w:rsid w:val="00D46260"/>
    <w:rsid w:val="00D617C9"/>
    <w:rsid w:val="00D61E0E"/>
    <w:rsid w:val="00D709B9"/>
    <w:rsid w:val="00D802B8"/>
    <w:rsid w:val="00D83AC9"/>
    <w:rsid w:val="00D85653"/>
    <w:rsid w:val="00D857E4"/>
    <w:rsid w:val="00D85868"/>
    <w:rsid w:val="00DA10F8"/>
    <w:rsid w:val="00DA4F43"/>
    <w:rsid w:val="00DA68FF"/>
    <w:rsid w:val="00DB1109"/>
    <w:rsid w:val="00DB7417"/>
    <w:rsid w:val="00DE30CB"/>
    <w:rsid w:val="00DE703A"/>
    <w:rsid w:val="00E1194A"/>
    <w:rsid w:val="00E26323"/>
    <w:rsid w:val="00E27126"/>
    <w:rsid w:val="00E41105"/>
    <w:rsid w:val="00E42DDA"/>
    <w:rsid w:val="00E65356"/>
    <w:rsid w:val="00E906C6"/>
    <w:rsid w:val="00E953AE"/>
    <w:rsid w:val="00EB7329"/>
    <w:rsid w:val="00EC072C"/>
    <w:rsid w:val="00EC22FD"/>
    <w:rsid w:val="00ED3FC6"/>
    <w:rsid w:val="00EE7449"/>
    <w:rsid w:val="00EF21DE"/>
    <w:rsid w:val="00EF7E0F"/>
    <w:rsid w:val="00F02FED"/>
    <w:rsid w:val="00F107FF"/>
    <w:rsid w:val="00F22BDA"/>
    <w:rsid w:val="00F25421"/>
    <w:rsid w:val="00F53B0B"/>
    <w:rsid w:val="00F550B6"/>
    <w:rsid w:val="00F618A0"/>
    <w:rsid w:val="00F67EEB"/>
    <w:rsid w:val="00F77C3F"/>
    <w:rsid w:val="00FA3866"/>
    <w:rsid w:val="00FB176D"/>
    <w:rsid w:val="00FB6FA1"/>
    <w:rsid w:val="00FD4634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AE7F1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  <w:style w:type="paragraph" w:customStyle="1" w:styleId="Default">
    <w:name w:val="Default"/>
    <w:rsid w:val="002B7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2B7AEF"/>
    <w:pPr>
      <w:jc w:val="center"/>
    </w:pPr>
    <w:rPr>
      <w:b/>
      <w:sz w:val="32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2B7AEF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korisnik</cp:lastModifiedBy>
  <cp:revision>6</cp:revision>
  <cp:lastPrinted>2022-10-13T09:55:00Z</cp:lastPrinted>
  <dcterms:created xsi:type="dcterms:W3CDTF">2022-10-13T12:20:00Z</dcterms:created>
  <dcterms:modified xsi:type="dcterms:W3CDTF">2023-01-10T12:21:00Z</dcterms:modified>
</cp:coreProperties>
</file>